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8193" w14:textId="77777777" w:rsidR="00C663E7" w:rsidRPr="0011139D" w:rsidRDefault="00C663E7" w:rsidP="00742D84">
      <w:pPr>
        <w:widowControl/>
        <w:autoSpaceDE/>
        <w:autoSpaceDN/>
        <w:adjustRightInd/>
        <w:spacing w:line="240" w:lineRule="auto"/>
        <w:jc w:val="center"/>
        <w:rPr>
          <w:b/>
          <w:sz w:val="40"/>
        </w:rPr>
      </w:pPr>
    </w:p>
    <w:p w14:paraId="74B3A3DD" w14:textId="77777777" w:rsidR="00C663E7" w:rsidRPr="0011139D" w:rsidRDefault="00C663E7" w:rsidP="00742D84">
      <w:pPr>
        <w:widowControl/>
        <w:autoSpaceDE/>
        <w:autoSpaceDN/>
        <w:adjustRightInd/>
        <w:spacing w:line="240" w:lineRule="auto"/>
        <w:jc w:val="center"/>
        <w:rPr>
          <w:b/>
          <w:sz w:val="40"/>
        </w:rPr>
      </w:pPr>
    </w:p>
    <w:p w14:paraId="2AA24FB8" w14:textId="77777777" w:rsidR="00C663E7" w:rsidRPr="0011139D" w:rsidRDefault="00C663E7" w:rsidP="00742D84">
      <w:pPr>
        <w:widowControl/>
        <w:autoSpaceDE/>
        <w:autoSpaceDN/>
        <w:adjustRightInd/>
        <w:spacing w:line="240" w:lineRule="auto"/>
        <w:jc w:val="center"/>
        <w:rPr>
          <w:b/>
          <w:sz w:val="40"/>
        </w:rPr>
      </w:pPr>
    </w:p>
    <w:p w14:paraId="2FD91831" w14:textId="77777777" w:rsidR="00742D84" w:rsidRPr="0011139D" w:rsidRDefault="00742D84" w:rsidP="00742D84">
      <w:pPr>
        <w:widowControl/>
        <w:autoSpaceDE/>
        <w:autoSpaceDN/>
        <w:adjustRightInd/>
        <w:spacing w:line="240" w:lineRule="auto"/>
        <w:jc w:val="center"/>
        <w:rPr>
          <w:b/>
          <w:sz w:val="40"/>
        </w:rPr>
      </w:pPr>
      <w:r w:rsidRPr="0011139D">
        <w:rPr>
          <w:b/>
          <w:sz w:val="40"/>
        </w:rPr>
        <w:t>Healthwatch Telford and Wrekin</w:t>
      </w:r>
    </w:p>
    <w:p w14:paraId="3681DB2E" w14:textId="77777777" w:rsidR="00742D84" w:rsidRPr="0011139D" w:rsidRDefault="00742D84" w:rsidP="00742D84">
      <w:pPr>
        <w:widowControl/>
        <w:autoSpaceDE/>
        <w:autoSpaceDN/>
        <w:adjustRightInd/>
        <w:spacing w:line="240" w:lineRule="auto"/>
        <w:jc w:val="center"/>
        <w:rPr>
          <w:b/>
          <w:sz w:val="40"/>
        </w:rPr>
      </w:pPr>
    </w:p>
    <w:p w14:paraId="2EC24336" w14:textId="77777777" w:rsidR="00742D84" w:rsidRPr="0011139D" w:rsidRDefault="00742D84" w:rsidP="00742D84">
      <w:pPr>
        <w:widowControl/>
        <w:autoSpaceDE/>
        <w:autoSpaceDN/>
        <w:adjustRightInd/>
        <w:spacing w:line="240" w:lineRule="auto"/>
        <w:jc w:val="center"/>
        <w:rPr>
          <w:b/>
          <w:sz w:val="40"/>
        </w:rPr>
      </w:pPr>
    </w:p>
    <w:p w14:paraId="6D993DBD" w14:textId="77777777" w:rsidR="00742D84" w:rsidRPr="0011139D" w:rsidRDefault="00BA1B44" w:rsidP="00742D84">
      <w:pPr>
        <w:widowControl/>
        <w:autoSpaceDE/>
        <w:autoSpaceDN/>
        <w:adjustRightInd/>
        <w:spacing w:line="240" w:lineRule="auto"/>
        <w:jc w:val="center"/>
        <w:rPr>
          <w:b/>
          <w:sz w:val="40"/>
        </w:rPr>
      </w:pPr>
      <w:r w:rsidRPr="0011139D">
        <w:rPr>
          <w:b/>
          <w:sz w:val="40"/>
        </w:rPr>
        <w:t xml:space="preserve"> </w:t>
      </w:r>
      <w:r w:rsidR="00D6596C" w:rsidRPr="0011139D">
        <w:rPr>
          <w:b/>
          <w:sz w:val="40"/>
        </w:rPr>
        <w:t xml:space="preserve">Decision Making </w:t>
      </w:r>
      <w:r w:rsidR="00742D84" w:rsidRPr="0011139D">
        <w:rPr>
          <w:b/>
          <w:sz w:val="40"/>
        </w:rPr>
        <w:t>Polic</w:t>
      </w:r>
      <w:r w:rsidR="001B657B" w:rsidRPr="0011139D">
        <w:rPr>
          <w:b/>
          <w:sz w:val="40"/>
        </w:rPr>
        <w:t>y</w:t>
      </w:r>
    </w:p>
    <w:p w14:paraId="2AE274AC" w14:textId="77777777" w:rsidR="001D50AE" w:rsidRPr="0011139D" w:rsidRDefault="001D50AE" w:rsidP="00AA46D3">
      <w:pPr>
        <w:tabs>
          <w:tab w:val="left" w:pos="1486"/>
        </w:tabs>
      </w:pPr>
    </w:p>
    <w:p w14:paraId="4CA2AB72" w14:textId="77777777" w:rsidR="002B0DE1" w:rsidRPr="0011139D" w:rsidRDefault="002B0DE1" w:rsidP="00AA46D3">
      <w:pPr>
        <w:tabs>
          <w:tab w:val="left" w:pos="1486"/>
        </w:tabs>
      </w:pPr>
    </w:p>
    <w:p w14:paraId="179820C3" w14:textId="77777777" w:rsidR="002B0DE1" w:rsidRPr="0011139D" w:rsidRDefault="002B0DE1" w:rsidP="00AA46D3">
      <w:pPr>
        <w:tabs>
          <w:tab w:val="left" w:pos="1486"/>
        </w:tabs>
      </w:pPr>
      <w:bookmarkStart w:id="0" w:name="_Hlk490056251"/>
    </w:p>
    <w:tbl>
      <w:tblPr>
        <w:tblStyle w:val="TableGrid"/>
        <w:tblW w:w="0" w:type="auto"/>
        <w:tblLook w:val="04A0" w:firstRow="1" w:lastRow="0" w:firstColumn="1" w:lastColumn="0" w:noHBand="0" w:noVBand="1"/>
      </w:tblPr>
      <w:tblGrid>
        <w:gridCol w:w="3397"/>
        <w:gridCol w:w="5619"/>
      </w:tblGrid>
      <w:tr w:rsidR="002B0DE1" w:rsidRPr="0011139D" w14:paraId="117CACF5" w14:textId="77777777" w:rsidTr="00C663E7">
        <w:tc>
          <w:tcPr>
            <w:tcW w:w="3397" w:type="dxa"/>
          </w:tcPr>
          <w:p w14:paraId="422DA558" w14:textId="77777777" w:rsidR="002B0DE1" w:rsidRPr="0011139D" w:rsidRDefault="002B0DE1" w:rsidP="00AA46D3">
            <w:pPr>
              <w:tabs>
                <w:tab w:val="left" w:pos="1486"/>
              </w:tabs>
            </w:pPr>
            <w:r w:rsidRPr="0011139D">
              <w:t>Index Ref</w:t>
            </w:r>
          </w:p>
        </w:tc>
        <w:tc>
          <w:tcPr>
            <w:tcW w:w="5619" w:type="dxa"/>
          </w:tcPr>
          <w:p w14:paraId="6C2CE5E7" w14:textId="15119094" w:rsidR="002B0DE1" w:rsidRPr="0011139D" w:rsidRDefault="00EA508E" w:rsidP="00AA46D3">
            <w:pPr>
              <w:tabs>
                <w:tab w:val="left" w:pos="1486"/>
              </w:tabs>
            </w:pPr>
            <w:r>
              <w:t>PP5</w:t>
            </w:r>
            <w:bookmarkStart w:id="1" w:name="_GoBack"/>
            <w:bookmarkEnd w:id="1"/>
          </w:p>
        </w:tc>
      </w:tr>
      <w:tr w:rsidR="002B0DE1" w:rsidRPr="0011139D" w14:paraId="68520CC8" w14:textId="77777777" w:rsidTr="00C663E7">
        <w:tc>
          <w:tcPr>
            <w:tcW w:w="3397" w:type="dxa"/>
          </w:tcPr>
          <w:p w14:paraId="7703E4FA" w14:textId="77777777" w:rsidR="002B0DE1" w:rsidRPr="0011139D" w:rsidRDefault="002B0DE1" w:rsidP="00AA46D3">
            <w:pPr>
              <w:tabs>
                <w:tab w:val="left" w:pos="1486"/>
              </w:tabs>
            </w:pPr>
            <w:r w:rsidRPr="0011139D">
              <w:t>Date Approved by Board</w:t>
            </w:r>
          </w:p>
        </w:tc>
        <w:tc>
          <w:tcPr>
            <w:tcW w:w="5619" w:type="dxa"/>
          </w:tcPr>
          <w:p w14:paraId="6B7450F1" w14:textId="4F305C16" w:rsidR="002B0DE1" w:rsidRPr="0011139D" w:rsidRDefault="00F976C4" w:rsidP="00AA46D3">
            <w:pPr>
              <w:tabs>
                <w:tab w:val="left" w:pos="1486"/>
              </w:tabs>
            </w:pPr>
            <w:r>
              <w:t>26-March-2018</w:t>
            </w:r>
          </w:p>
        </w:tc>
      </w:tr>
      <w:tr w:rsidR="002B0DE1" w:rsidRPr="0011139D" w14:paraId="18B6790C" w14:textId="77777777" w:rsidTr="00C663E7">
        <w:tc>
          <w:tcPr>
            <w:tcW w:w="3397" w:type="dxa"/>
          </w:tcPr>
          <w:p w14:paraId="2EC14FC4" w14:textId="77777777" w:rsidR="002B0DE1" w:rsidRPr="0011139D" w:rsidRDefault="002B0DE1" w:rsidP="00AA46D3">
            <w:pPr>
              <w:tabs>
                <w:tab w:val="left" w:pos="1486"/>
              </w:tabs>
            </w:pPr>
            <w:r w:rsidRPr="0011139D">
              <w:t>Date of Staff Consultation</w:t>
            </w:r>
          </w:p>
        </w:tc>
        <w:tc>
          <w:tcPr>
            <w:tcW w:w="5619" w:type="dxa"/>
          </w:tcPr>
          <w:p w14:paraId="491DD663" w14:textId="06FAD853" w:rsidR="002B0DE1" w:rsidRPr="0011139D" w:rsidRDefault="00F976C4" w:rsidP="00AA46D3">
            <w:pPr>
              <w:tabs>
                <w:tab w:val="left" w:pos="1486"/>
              </w:tabs>
            </w:pPr>
            <w:r>
              <w:t>15-March-2018</w:t>
            </w:r>
          </w:p>
        </w:tc>
      </w:tr>
      <w:tr w:rsidR="002B0DE1" w:rsidRPr="0011139D" w14:paraId="6F074F09" w14:textId="77777777" w:rsidTr="00C663E7">
        <w:tc>
          <w:tcPr>
            <w:tcW w:w="3397" w:type="dxa"/>
          </w:tcPr>
          <w:p w14:paraId="2B4E761C" w14:textId="77777777" w:rsidR="002B0DE1" w:rsidRPr="0011139D" w:rsidRDefault="002B0DE1" w:rsidP="00AA46D3">
            <w:pPr>
              <w:tabs>
                <w:tab w:val="left" w:pos="1486"/>
              </w:tabs>
            </w:pPr>
            <w:r w:rsidRPr="0011139D">
              <w:t>Number of Pages</w:t>
            </w:r>
          </w:p>
        </w:tc>
        <w:tc>
          <w:tcPr>
            <w:tcW w:w="5619" w:type="dxa"/>
          </w:tcPr>
          <w:p w14:paraId="7C15E536" w14:textId="77777777" w:rsidR="002B0DE1" w:rsidRPr="0011139D" w:rsidRDefault="00351483" w:rsidP="00AA46D3">
            <w:pPr>
              <w:tabs>
                <w:tab w:val="left" w:pos="1486"/>
              </w:tabs>
            </w:pPr>
            <w:fldSimple w:instr=" NUMPAGES  \* Arabic  \* MERGEFORMAT ">
              <w:r w:rsidR="004E5C88">
                <w:rPr>
                  <w:noProof/>
                </w:rPr>
                <w:t>6</w:t>
              </w:r>
            </w:fldSimple>
          </w:p>
        </w:tc>
      </w:tr>
      <w:tr w:rsidR="002B0DE1" w:rsidRPr="0011139D" w14:paraId="7D996C2E" w14:textId="77777777" w:rsidTr="00C663E7">
        <w:tc>
          <w:tcPr>
            <w:tcW w:w="3397" w:type="dxa"/>
          </w:tcPr>
          <w:p w14:paraId="06700761" w14:textId="77777777" w:rsidR="002B0DE1" w:rsidRPr="0011139D" w:rsidRDefault="002B0DE1" w:rsidP="00AA46D3">
            <w:pPr>
              <w:tabs>
                <w:tab w:val="left" w:pos="1486"/>
              </w:tabs>
            </w:pPr>
            <w:r w:rsidRPr="0011139D">
              <w:t>Number of Appendices</w:t>
            </w:r>
          </w:p>
        </w:tc>
        <w:tc>
          <w:tcPr>
            <w:tcW w:w="5619" w:type="dxa"/>
          </w:tcPr>
          <w:p w14:paraId="12D7D880" w14:textId="77777777" w:rsidR="002B0DE1" w:rsidRPr="0011139D" w:rsidRDefault="004E5C88" w:rsidP="00AA46D3">
            <w:pPr>
              <w:tabs>
                <w:tab w:val="left" w:pos="1486"/>
              </w:tabs>
            </w:pPr>
            <w:r>
              <w:t>None</w:t>
            </w:r>
          </w:p>
        </w:tc>
      </w:tr>
      <w:tr w:rsidR="002B0DE1" w:rsidRPr="0011139D" w14:paraId="1AF84EA1" w14:textId="77777777" w:rsidTr="00C663E7">
        <w:tc>
          <w:tcPr>
            <w:tcW w:w="3397" w:type="dxa"/>
          </w:tcPr>
          <w:p w14:paraId="01D81E12" w14:textId="77777777" w:rsidR="002B0DE1" w:rsidRPr="0011139D" w:rsidRDefault="002B0DE1" w:rsidP="00AA46D3">
            <w:pPr>
              <w:tabs>
                <w:tab w:val="left" w:pos="1486"/>
              </w:tabs>
            </w:pPr>
            <w:r w:rsidRPr="0011139D">
              <w:t>Issue Number</w:t>
            </w:r>
          </w:p>
        </w:tc>
        <w:tc>
          <w:tcPr>
            <w:tcW w:w="5619" w:type="dxa"/>
          </w:tcPr>
          <w:p w14:paraId="5B0647AB" w14:textId="77777777" w:rsidR="002B0DE1" w:rsidRPr="0011139D" w:rsidRDefault="00315781" w:rsidP="00AA46D3">
            <w:pPr>
              <w:tabs>
                <w:tab w:val="left" w:pos="1486"/>
              </w:tabs>
            </w:pPr>
            <w:r>
              <w:t>2</w:t>
            </w:r>
          </w:p>
        </w:tc>
      </w:tr>
      <w:tr w:rsidR="002B0DE1" w:rsidRPr="0011139D" w14:paraId="198E2AFF" w14:textId="77777777" w:rsidTr="00C663E7">
        <w:tc>
          <w:tcPr>
            <w:tcW w:w="3397" w:type="dxa"/>
          </w:tcPr>
          <w:p w14:paraId="42ED495C" w14:textId="77777777" w:rsidR="002B0DE1" w:rsidRPr="0011139D" w:rsidRDefault="002B0DE1" w:rsidP="00AA46D3">
            <w:pPr>
              <w:tabs>
                <w:tab w:val="left" w:pos="1486"/>
              </w:tabs>
            </w:pPr>
            <w:r w:rsidRPr="0011139D">
              <w:t>Date of First Issue</w:t>
            </w:r>
          </w:p>
        </w:tc>
        <w:tc>
          <w:tcPr>
            <w:tcW w:w="5619" w:type="dxa"/>
          </w:tcPr>
          <w:p w14:paraId="24242437" w14:textId="77777777" w:rsidR="002B0DE1" w:rsidRPr="0011139D" w:rsidRDefault="002B0DE1" w:rsidP="00AA46D3">
            <w:pPr>
              <w:tabs>
                <w:tab w:val="left" w:pos="1486"/>
              </w:tabs>
            </w:pPr>
          </w:p>
        </w:tc>
      </w:tr>
      <w:tr w:rsidR="002B0DE1" w:rsidRPr="0011139D" w14:paraId="39FEB49F" w14:textId="77777777" w:rsidTr="00C663E7">
        <w:tc>
          <w:tcPr>
            <w:tcW w:w="3397" w:type="dxa"/>
          </w:tcPr>
          <w:p w14:paraId="7E144A61" w14:textId="77777777" w:rsidR="002B0DE1" w:rsidRPr="0011139D" w:rsidRDefault="002B0DE1" w:rsidP="00AA46D3">
            <w:pPr>
              <w:tabs>
                <w:tab w:val="left" w:pos="1486"/>
              </w:tabs>
            </w:pPr>
            <w:r w:rsidRPr="0011139D">
              <w:t>Date of Next Revision</w:t>
            </w:r>
          </w:p>
        </w:tc>
        <w:tc>
          <w:tcPr>
            <w:tcW w:w="5619" w:type="dxa"/>
          </w:tcPr>
          <w:p w14:paraId="6B7671F5" w14:textId="0551253B" w:rsidR="002B0DE1" w:rsidRPr="0011139D" w:rsidRDefault="00F14E4A" w:rsidP="00AA46D3">
            <w:pPr>
              <w:tabs>
                <w:tab w:val="left" w:pos="1486"/>
              </w:tabs>
            </w:pPr>
            <w:r w:rsidRPr="0011139D">
              <w:t>01 April 201</w:t>
            </w:r>
            <w:r w:rsidR="00F976C4">
              <w:t>9</w:t>
            </w:r>
          </w:p>
        </w:tc>
      </w:tr>
      <w:tr w:rsidR="002B0DE1" w:rsidRPr="0011139D" w14:paraId="7564B87F" w14:textId="77777777" w:rsidTr="00C663E7">
        <w:tc>
          <w:tcPr>
            <w:tcW w:w="3397" w:type="dxa"/>
          </w:tcPr>
          <w:p w14:paraId="7B6411E6" w14:textId="77777777" w:rsidR="002B0DE1" w:rsidRPr="0011139D" w:rsidRDefault="002B0DE1" w:rsidP="00AA46D3">
            <w:pPr>
              <w:tabs>
                <w:tab w:val="left" w:pos="1486"/>
              </w:tabs>
            </w:pPr>
            <w:r w:rsidRPr="0011139D">
              <w:t>Date of Last Revision</w:t>
            </w:r>
          </w:p>
        </w:tc>
        <w:tc>
          <w:tcPr>
            <w:tcW w:w="5619" w:type="dxa"/>
          </w:tcPr>
          <w:p w14:paraId="490F921A" w14:textId="14EBA083" w:rsidR="002B0DE1" w:rsidRPr="0011139D" w:rsidRDefault="00F976C4" w:rsidP="00AA46D3">
            <w:pPr>
              <w:tabs>
                <w:tab w:val="left" w:pos="1486"/>
              </w:tabs>
            </w:pPr>
            <w:r>
              <w:t>30 March</w:t>
            </w:r>
            <w:r w:rsidR="00F14E4A" w:rsidRPr="0011139D">
              <w:t xml:space="preserve"> 201</w:t>
            </w:r>
            <w:r>
              <w:t>8</w:t>
            </w:r>
          </w:p>
        </w:tc>
      </w:tr>
      <w:bookmarkEnd w:id="0"/>
    </w:tbl>
    <w:p w14:paraId="3406E429" w14:textId="77777777" w:rsidR="002B0DE1" w:rsidRPr="0011139D" w:rsidRDefault="002B0DE1" w:rsidP="00AA46D3">
      <w:pPr>
        <w:tabs>
          <w:tab w:val="left" w:pos="1486"/>
        </w:tabs>
      </w:pPr>
    </w:p>
    <w:p w14:paraId="076BD4D6" w14:textId="77777777" w:rsidR="00742D84" w:rsidRPr="0011139D" w:rsidRDefault="00742D84" w:rsidP="00AA46D3">
      <w:pPr>
        <w:tabs>
          <w:tab w:val="left" w:pos="1486"/>
        </w:tabs>
      </w:pPr>
    </w:p>
    <w:p w14:paraId="4ED0C459" w14:textId="77777777" w:rsidR="00742D84" w:rsidRPr="0011139D" w:rsidRDefault="00742D84">
      <w:pPr>
        <w:widowControl/>
        <w:autoSpaceDE/>
        <w:autoSpaceDN/>
        <w:adjustRightInd/>
        <w:spacing w:line="240" w:lineRule="auto"/>
      </w:pPr>
      <w:r w:rsidRPr="0011139D">
        <w:br w:type="page"/>
      </w:r>
    </w:p>
    <w:p w14:paraId="3A09636C" w14:textId="77777777" w:rsidR="00742D84" w:rsidRPr="0011139D" w:rsidRDefault="00742D84" w:rsidP="00AA46D3">
      <w:pPr>
        <w:tabs>
          <w:tab w:val="left" w:pos="1486"/>
        </w:tabs>
      </w:pPr>
    </w:p>
    <w:sdt>
      <w:sdtPr>
        <w:rPr>
          <w:b/>
          <w:sz w:val="28"/>
        </w:rPr>
        <w:id w:val="2100595667"/>
        <w:docPartObj>
          <w:docPartGallery w:val="Table of Contents"/>
          <w:docPartUnique/>
        </w:docPartObj>
      </w:sdtPr>
      <w:sdtEndPr>
        <w:rPr>
          <w:bCs/>
          <w:noProof/>
          <w:sz w:val="24"/>
        </w:rPr>
      </w:sdtEndPr>
      <w:sdtContent>
        <w:p w14:paraId="1537FEF4" w14:textId="77777777" w:rsidR="00742D84" w:rsidRPr="0011139D" w:rsidRDefault="00742D84" w:rsidP="00FF18F2">
          <w:pPr>
            <w:spacing w:before="120"/>
            <w:rPr>
              <w:b/>
              <w:sz w:val="28"/>
            </w:rPr>
          </w:pPr>
          <w:r w:rsidRPr="0011139D">
            <w:rPr>
              <w:b/>
              <w:sz w:val="28"/>
            </w:rPr>
            <w:t>Contents</w:t>
          </w:r>
        </w:p>
        <w:p w14:paraId="0BBE66EB" w14:textId="26454E96" w:rsidR="007F2F5C" w:rsidRDefault="00742D84">
          <w:pPr>
            <w:pStyle w:val="TOC1"/>
            <w:tabs>
              <w:tab w:val="left" w:pos="480"/>
              <w:tab w:val="right" w:leader="dot" w:pos="9016"/>
            </w:tabs>
            <w:rPr>
              <w:rFonts w:asciiTheme="minorHAnsi" w:eastAsiaTheme="minorEastAsia" w:hAnsiTheme="minorHAnsi" w:cstheme="minorBidi"/>
              <w:noProof/>
              <w:sz w:val="22"/>
              <w:szCs w:val="22"/>
              <w:lang w:val="en-GB" w:eastAsia="en-GB"/>
            </w:rPr>
          </w:pPr>
          <w:r w:rsidRPr="0011139D">
            <w:fldChar w:fldCharType="begin"/>
          </w:r>
          <w:r w:rsidRPr="0011139D">
            <w:instrText xml:space="preserve"> TOC \o "1-3" \h \z \u </w:instrText>
          </w:r>
          <w:r w:rsidRPr="0011139D">
            <w:fldChar w:fldCharType="separate"/>
          </w:r>
          <w:hyperlink w:anchor="_Toc512431304" w:history="1">
            <w:r w:rsidR="007F2F5C" w:rsidRPr="00515F8D">
              <w:rPr>
                <w:rStyle w:val="Hyperlink"/>
                <w:noProof/>
                <w:lang w:val="en-GB"/>
              </w:rPr>
              <w:t>1</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Policy Background</w:t>
            </w:r>
            <w:r w:rsidR="007F2F5C">
              <w:rPr>
                <w:noProof/>
                <w:webHidden/>
              </w:rPr>
              <w:tab/>
            </w:r>
            <w:r w:rsidR="007F2F5C">
              <w:rPr>
                <w:noProof/>
                <w:webHidden/>
              </w:rPr>
              <w:fldChar w:fldCharType="begin"/>
            </w:r>
            <w:r w:rsidR="007F2F5C">
              <w:rPr>
                <w:noProof/>
                <w:webHidden/>
              </w:rPr>
              <w:instrText xml:space="preserve"> PAGEREF _Toc512431304 \h </w:instrText>
            </w:r>
            <w:r w:rsidR="007F2F5C">
              <w:rPr>
                <w:noProof/>
                <w:webHidden/>
              </w:rPr>
            </w:r>
            <w:r w:rsidR="007F2F5C">
              <w:rPr>
                <w:noProof/>
                <w:webHidden/>
              </w:rPr>
              <w:fldChar w:fldCharType="separate"/>
            </w:r>
            <w:r w:rsidR="007F2F5C">
              <w:rPr>
                <w:noProof/>
                <w:webHidden/>
              </w:rPr>
              <w:t>3</w:t>
            </w:r>
            <w:r w:rsidR="007F2F5C">
              <w:rPr>
                <w:noProof/>
                <w:webHidden/>
              </w:rPr>
              <w:fldChar w:fldCharType="end"/>
            </w:r>
          </w:hyperlink>
        </w:p>
        <w:p w14:paraId="227EF5C7" w14:textId="70F7782B"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05" w:history="1">
            <w:r w:rsidR="007F2F5C" w:rsidRPr="00515F8D">
              <w:rPr>
                <w:rStyle w:val="Hyperlink"/>
                <w:noProof/>
                <w:lang w:val="en-GB"/>
              </w:rPr>
              <w:t>2</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Policy</w:t>
            </w:r>
            <w:r w:rsidR="007F2F5C">
              <w:rPr>
                <w:noProof/>
                <w:webHidden/>
              </w:rPr>
              <w:tab/>
            </w:r>
            <w:r w:rsidR="007F2F5C">
              <w:rPr>
                <w:noProof/>
                <w:webHidden/>
              </w:rPr>
              <w:fldChar w:fldCharType="begin"/>
            </w:r>
            <w:r w:rsidR="007F2F5C">
              <w:rPr>
                <w:noProof/>
                <w:webHidden/>
              </w:rPr>
              <w:instrText xml:space="preserve"> PAGEREF _Toc512431305 \h </w:instrText>
            </w:r>
            <w:r w:rsidR="007F2F5C">
              <w:rPr>
                <w:noProof/>
                <w:webHidden/>
              </w:rPr>
            </w:r>
            <w:r w:rsidR="007F2F5C">
              <w:rPr>
                <w:noProof/>
                <w:webHidden/>
              </w:rPr>
              <w:fldChar w:fldCharType="separate"/>
            </w:r>
            <w:r w:rsidR="007F2F5C">
              <w:rPr>
                <w:noProof/>
                <w:webHidden/>
              </w:rPr>
              <w:t>3</w:t>
            </w:r>
            <w:r w:rsidR="007F2F5C">
              <w:rPr>
                <w:noProof/>
                <w:webHidden/>
              </w:rPr>
              <w:fldChar w:fldCharType="end"/>
            </w:r>
          </w:hyperlink>
        </w:p>
        <w:p w14:paraId="7BA793CE" w14:textId="2BD2BEA6" w:rsidR="007F2F5C" w:rsidRDefault="00EA508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1306" w:history="1">
            <w:r w:rsidR="007F2F5C" w:rsidRPr="00515F8D">
              <w:rPr>
                <w:rStyle w:val="Hyperlink"/>
                <w:noProof/>
                <w:lang w:val="en-GB"/>
              </w:rPr>
              <w:t>2.1</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Legal Framework</w:t>
            </w:r>
            <w:r w:rsidR="007F2F5C">
              <w:rPr>
                <w:noProof/>
                <w:webHidden/>
              </w:rPr>
              <w:tab/>
            </w:r>
            <w:r w:rsidR="007F2F5C">
              <w:rPr>
                <w:noProof/>
                <w:webHidden/>
              </w:rPr>
              <w:fldChar w:fldCharType="begin"/>
            </w:r>
            <w:r w:rsidR="007F2F5C">
              <w:rPr>
                <w:noProof/>
                <w:webHidden/>
              </w:rPr>
              <w:instrText xml:space="preserve"> PAGEREF _Toc512431306 \h </w:instrText>
            </w:r>
            <w:r w:rsidR="007F2F5C">
              <w:rPr>
                <w:noProof/>
                <w:webHidden/>
              </w:rPr>
            </w:r>
            <w:r w:rsidR="007F2F5C">
              <w:rPr>
                <w:noProof/>
                <w:webHidden/>
              </w:rPr>
              <w:fldChar w:fldCharType="separate"/>
            </w:r>
            <w:r w:rsidR="007F2F5C">
              <w:rPr>
                <w:noProof/>
                <w:webHidden/>
              </w:rPr>
              <w:t>3</w:t>
            </w:r>
            <w:r w:rsidR="007F2F5C">
              <w:rPr>
                <w:noProof/>
                <w:webHidden/>
              </w:rPr>
              <w:fldChar w:fldCharType="end"/>
            </w:r>
          </w:hyperlink>
        </w:p>
        <w:p w14:paraId="66DE2EBC" w14:textId="40574481" w:rsidR="007F2F5C" w:rsidRDefault="00EA508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1307" w:history="1">
            <w:r w:rsidR="007F2F5C" w:rsidRPr="00515F8D">
              <w:rPr>
                <w:rStyle w:val="Hyperlink"/>
                <w:noProof/>
                <w:lang w:val="en-GB"/>
              </w:rPr>
              <w:t>2.2</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Scope</w:t>
            </w:r>
            <w:r w:rsidR="007F2F5C">
              <w:rPr>
                <w:noProof/>
                <w:webHidden/>
              </w:rPr>
              <w:tab/>
            </w:r>
            <w:r w:rsidR="007F2F5C">
              <w:rPr>
                <w:noProof/>
                <w:webHidden/>
              </w:rPr>
              <w:fldChar w:fldCharType="begin"/>
            </w:r>
            <w:r w:rsidR="007F2F5C">
              <w:rPr>
                <w:noProof/>
                <w:webHidden/>
              </w:rPr>
              <w:instrText xml:space="preserve"> PAGEREF _Toc512431307 \h </w:instrText>
            </w:r>
            <w:r w:rsidR="007F2F5C">
              <w:rPr>
                <w:noProof/>
                <w:webHidden/>
              </w:rPr>
            </w:r>
            <w:r w:rsidR="007F2F5C">
              <w:rPr>
                <w:noProof/>
                <w:webHidden/>
              </w:rPr>
              <w:fldChar w:fldCharType="separate"/>
            </w:r>
            <w:r w:rsidR="007F2F5C">
              <w:rPr>
                <w:noProof/>
                <w:webHidden/>
              </w:rPr>
              <w:t>4</w:t>
            </w:r>
            <w:r w:rsidR="007F2F5C">
              <w:rPr>
                <w:noProof/>
                <w:webHidden/>
              </w:rPr>
              <w:fldChar w:fldCharType="end"/>
            </w:r>
          </w:hyperlink>
        </w:p>
        <w:p w14:paraId="74B3C786" w14:textId="50AB350F" w:rsidR="007F2F5C" w:rsidRDefault="00EA508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1308" w:history="1">
            <w:r w:rsidR="007F2F5C" w:rsidRPr="00515F8D">
              <w:rPr>
                <w:rStyle w:val="Hyperlink"/>
                <w:noProof/>
              </w:rPr>
              <w:t>2.3</w:t>
            </w:r>
            <w:r w:rsidR="007F2F5C">
              <w:rPr>
                <w:rFonts w:asciiTheme="minorHAnsi" w:eastAsiaTheme="minorEastAsia" w:hAnsiTheme="minorHAnsi" w:cstheme="minorBidi"/>
                <w:noProof/>
                <w:sz w:val="22"/>
                <w:szCs w:val="22"/>
                <w:lang w:val="en-GB" w:eastAsia="en-GB"/>
              </w:rPr>
              <w:tab/>
            </w:r>
            <w:r w:rsidR="007F2F5C" w:rsidRPr="00515F8D">
              <w:rPr>
                <w:rStyle w:val="Hyperlink"/>
                <w:noProof/>
              </w:rPr>
              <w:t>Exclusions to this Policy</w:t>
            </w:r>
            <w:r w:rsidR="007F2F5C">
              <w:rPr>
                <w:noProof/>
                <w:webHidden/>
              </w:rPr>
              <w:tab/>
            </w:r>
            <w:r w:rsidR="007F2F5C">
              <w:rPr>
                <w:noProof/>
                <w:webHidden/>
              </w:rPr>
              <w:fldChar w:fldCharType="begin"/>
            </w:r>
            <w:r w:rsidR="007F2F5C">
              <w:rPr>
                <w:noProof/>
                <w:webHidden/>
              </w:rPr>
              <w:instrText xml:space="preserve"> PAGEREF _Toc512431308 \h </w:instrText>
            </w:r>
            <w:r w:rsidR="007F2F5C">
              <w:rPr>
                <w:noProof/>
                <w:webHidden/>
              </w:rPr>
            </w:r>
            <w:r w:rsidR="007F2F5C">
              <w:rPr>
                <w:noProof/>
                <w:webHidden/>
              </w:rPr>
              <w:fldChar w:fldCharType="separate"/>
            </w:r>
            <w:r w:rsidR="007F2F5C">
              <w:rPr>
                <w:noProof/>
                <w:webHidden/>
              </w:rPr>
              <w:t>4</w:t>
            </w:r>
            <w:r w:rsidR="007F2F5C">
              <w:rPr>
                <w:noProof/>
                <w:webHidden/>
              </w:rPr>
              <w:fldChar w:fldCharType="end"/>
            </w:r>
          </w:hyperlink>
        </w:p>
        <w:p w14:paraId="2FFA48BB" w14:textId="0CD9DC5E"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09" w:history="1">
            <w:r w:rsidR="007F2F5C" w:rsidRPr="00515F8D">
              <w:rPr>
                <w:rStyle w:val="Hyperlink"/>
                <w:noProof/>
                <w:lang w:val="en-GB"/>
              </w:rPr>
              <w:t>3</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Responsibilities</w:t>
            </w:r>
            <w:r w:rsidR="007F2F5C">
              <w:rPr>
                <w:noProof/>
                <w:webHidden/>
              </w:rPr>
              <w:tab/>
            </w:r>
            <w:r w:rsidR="007F2F5C">
              <w:rPr>
                <w:noProof/>
                <w:webHidden/>
              </w:rPr>
              <w:fldChar w:fldCharType="begin"/>
            </w:r>
            <w:r w:rsidR="007F2F5C">
              <w:rPr>
                <w:noProof/>
                <w:webHidden/>
              </w:rPr>
              <w:instrText xml:space="preserve"> PAGEREF _Toc512431309 \h </w:instrText>
            </w:r>
            <w:r w:rsidR="007F2F5C">
              <w:rPr>
                <w:noProof/>
                <w:webHidden/>
              </w:rPr>
            </w:r>
            <w:r w:rsidR="007F2F5C">
              <w:rPr>
                <w:noProof/>
                <w:webHidden/>
              </w:rPr>
              <w:fldChar w:fldCharType="separate"/>
            </w:r>
            <w:r w:rsidR="007F2F5C">
              <w:rPr>
                <w:noProof/>
                <w:webHidden/>
              </w:rPr>
              <w:t>4</w:t>
            </w:r>
            <w:r w:rsidR="007F2F5C">
              <w:rPr>
                <w:noProof/>
                <w:webHidden/>
              </w:rPr>
              <w:fldChar w:fldCharType="end"/>
            </w:r>
          </w:hyperlink>
        </w:p>
        <w:p w14:paraId="2FC4FAE3" w14:textId="764373FC"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10" w:history="1">
            <w:r w:rsidR="007F2F5C" w:rsidRPr="00515F8D">
              <w:rPr>
                <w:rStyle w:val="Hyperlink"/>
                <w:noProof/>
              </w:rPr>
              <w:t>4</w:t>
            </w:r>
            <w:r w:rsidR="007F2F5C">
              <w:rPr>
                <w:rFonts w:asciiTheme="minorHAnsi" w:eastAsiaTheme="minorEastAsia" w:hAnsiTheme="minorHAnsi" w:cstheme="minorBidi"/>
                <w:noProof/>
                <w:sz w:val="22"/>
                <w:szCs w:val="22"/>
                <w:lang w:val="en-GB" w:eastAsia="en-GB"/>
              </w:rPr>
              <w:tab/>
            </w:r>
            <w:r w:rsidR="007F2F5C" w:rsidRPr="00515F8D">
              <w:rPr>
                <w:rStyle w:val="Hyperlink"/>
                <w:noProof/>
              </w:rPr>
              <w:t>Recording and Publishing Decisions</w:t>
            </w:r>
            <w:r w:rsidR="007F2F5C">
              <w:rPr>
                <w:noProof/>
                <w:webHidden/>
              </w:rPr>
              <w:tab/>
            </w:r>
            <w:r w:rsidR="007F2F5C">
              <w:rPr>
                <w:noProof/>
                <w:webHidden/>
              </w:rPr>
              <w:fldChar w:fldCharType="begin"/>
            </w:r>
            <w:r w:rsidR="007F2F5C">
              <w:rPr>
                <w:noProof/>
                <w:webHidden/>
              </w:rPr>
              <w:instrText xml:space="preserve"> PAGEREF _Toc512431310 \h </w:instrText>
            </w:r>
            <w:r w:rsidR="007F2F5C">
              <w:rPr>
                <w:noProof/>
                <w:webHidden/>
              </w:rPr>
            </w:r>
            <w:r w:rsidR="007F2F5C">
              <w:rPr>
                <w:noProof/>
                <w:webHidden/>
              </w:rPr>
              <w:fldChar w:fldCharType="separate"/>
            </w:r>
            <w:r w:rsidR="007F2F5C">
              <w:rPr>
                <w:noProof/>
                <w:webHidden/>
              </w:rPr>
              <w:t>5</w:t>
            </w:r>
            <w:r w:rsidR="007F2F5C">
              <w:rPr>
                <w:noProof/>
                <w:webHidden/>
              </w:rPr>
              <w:fldChar w:fldCharType="end"/>
            </w:r>
          </w:hyperlink>
        </w:p>
        <w:p w14:paraId="32D99ED9" w14:textId="23F51970"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11" w:history="1">
            <w:r w:rsidR="007F2F5C" w:rsidRPr="00515F8D">
              <w:rPr>
                <w:rStyle w:val="Hyperlink"/>
                <w:noProof/>
              </w:rPr>
              <w:t>5</w:t>
            </w:r>
            <w:r w:rsidR="007F2F5C">
              <w:rPr>
                <w:rFonts w:asciiTheme="minorHAnsi" w:eastAsiaTheme="minorEastAsia" w:hAnsiTheme="minorHAnsi" w:cstheme="minorBidi"/>
                <w:noProof/>
                <w:sz w:val="22"/>
                <w:szCs w:val="22"/>
                <w:lang w:val="en-GB" w:eastAsia="en-GB"/>
              </w:rPr>
              <w:tab/>
            </w:r>
            <w:r w:rsidR="007F2F5C" w:rsidRPr="00515F8D">
              <w:rPr>
                <w:rStyle w:val="Hyperlink"/>
                <w:noProof/>
              </w:rPr>
              <w:t>Appeals Against Decisions</w:t>
            </w:r>
            <w:r w:rsidR="007F2F5C">
              <w:rPr>
                <w:noProof/>
                <w:webHidden/>
              </w:rPr>
              <w:tab/>
            </w:r>
            <w:r w:rsidR="007F2F5C">
              <w:rPr>
                <w:noProof/>
                <w:webHidden/>
              </w:rPr>
              <w:fldChar w:fldCharType="begin"/>
            </w:r>
            <w:r w:rsidR="007F2F5C">
              <w:rPr>
                <w:noProof/>
                <w:webHidden/>
              </w:rPr>
              <w:instrText xml:space="preserve"> PAGEREF _Toc512431311 \h </w:instrText>
            </w:r>
            <w:r w:rsidR="007F2F5C">
              <w:rPr>
                <w:noProof/>
                <w:webHidden/>
              </w:rPr>
            </w:r>
            <w:r w:rsidR="007F2F5C">
              <w:rPr>
                <w:noProof/>
                <w:webHidden/>
              </w:rPr>
              <w:fldChar w:fldCharType="separate"/>
            </w:r>
            <w:r w:rsidR="007F2F5C">
              <w:rPr>
                <w:noProof/>
                <w:webHidden/>
              </w:rPr>
              <w:t>5</w:t>
            </w:r>
            <w:r w:rsidR="007F2F5C">
              <w:rPr>
                <w:noProof/>
                <w:webHidden/>
              </w:rPr>
              <w:fldChar w:fldCharType="end"/>
            </w:r>
          </w:hyperlink>
        </w:p>
        <w:p w14:paraId="61AFB024" w14:textId="246B2F60"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12" w:history="1">
            <w:r w:rsidR="007F2F5C" w:rsidRPr="00515F8D">
              <w:rPr>
                <w:rStyle w:val="Hyperlink"/>
                <w:noProof/>
              </w:rPr>
              <w:t>6</w:t>
            </w:r>
            <w:r w:rsidR="007F2F5C">
              <w:rPr>
                <w:rFonts w:asciiTheme="minorHAnsi" w:eastAsiaTheme="minorEastAsia" w:hAnsiTheme="minorHAnsi" w:cstheme="minorBidi"/>
                <w:noProof/>
                <w:sz w:val="22"/>
                <w:szCs w:val="22"/>
                <w:lang w:val="en-GB" w:eastAsia="en-GB"/>
              </w:rPr>
              <w:tab/>
            </w:r>
            <w:r w:rsidR="007F2F5C" w:rsidRPr="00515F8D">
              <w:rPr>
                <w:rStyle w:val="Hyperlink"/>
                <w:noProof/>
              </w:rPr>
              <w:t>Breach in Decision Making</w:t>
            </w:r>
            <w:r w:rsidR="007F2F5C">
              <w:rPr>
                <w:noProof/>
                <w:webHidden/>
              </w:rPr>
              <w:tab/>
            </w:r>
            <w:r w:rsidR="007F2F5C">
              <w:rPr>
                <w:noProof/>
                <w:webHidden/>
              </w:rPr>
              <w:fldChar w:fldCharType="begin"/>
            </w:r>
            <w:r w:rsidR="007F2F5C">
              <w:rPr>
                <w:noProof/>
                <w:webHidden/>
              </w:rPr>
              <w:instrText xml:space="preserve"> PAGEREF _Toc512431312 \h </w:instrText>
            </w:r>
            <w:r w:rsidR="007F2F5C">
              <w:rPr>
                <w:noProof/>
                <w:webHidden/>
              </w:rPr>
            </w:r>
            <w:r w:rsidR="007F2F5C">
              <w:rPr>
                <w:noProof/>
                <w:webHidden/>
              </w:rPr>
              <w:fldChar w:fldCharType="separate"/>
            </w:r>
            <w:r w:rsidR="007F2F5C">
              <w:rPr>
                <w:noProof/>
                <w:webHidden/>
              </w:rPr>
              <w:t>5</w:t>
            </w:r>
            <w:r w:rsidR="007F2F5C">
              <w:rPr>
                <w:noProof/>
                <w:webHidden/>
              </w:rPr>
              <w:fldChar w:fldCharType="end"/>
            </w:r>
          </w:hyperlink>
        </w:p>
        <w:p w14:paraId="2C052F98" w14:textId="2B15D97F" w:rsidR="007F2F5C" w:rsidRDefault="00EA508E">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512431313" w:history="1">
            <w:r w:rsidR="007F2F5C" w:rsidRPr="00515F8D">
              <w:rPr>
                <w:rStyle w:val="Hyperlink"/>
                <w:noProof/>
                <w:lang w:val="en-GB"/>
              </w:rPr>
              <w:t>7</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Decision - Making Procedures</w:t>
            </w:r>
            <w:r w:rsidR="007F2F5C">
              <w:rPr>
                <w:noProof/>
                <w:webHidden/>
              </w:rPr>
              <w:tab/>
            </w:r>
            <w:r w:rsidR="007F2F5C">
              <w:rPr>
                <w:noProof/>
                <w:webHidden/>
              </w:rPr>
              <w:fldChar w:fldCharType="begin"/>
            </w:r>
            <w:r w:rsidR="007F2F5C">
              <w:rPr>
                <w:noProof/>
                <w:webHidden/>
              </w:rPr>
              <w:instrText xml:space="preserve"> PAGEREF _Toc512431313 \h </w:instrText>
            </w:r>
            <w:r w:rsidR="007F2F5C">
              <w:rPr>
                <w:noProof/>
                <w:webHidden/>
              </w:rPr>
            </w:r>
            <w:r w:rsidR="007F2F5C">
              <w:rPr>
                <w:noProof/>
                <w:webHidden/>
              </w:rPr>
              <w:fldChar w:fldCharType="separate"/>
            </w:r>
            <w:r w:rsidR="007F2F5C">
              <w:rPr>
                <w:noProof/>
                <w:webHidden/>
              </w:rPr>
              <w:t>6</w:t>
            </w:r>
            <w:r w:rsidR="007F2F5C">
              <w:rPr>
                <w:noProof/>
                <w:webHidden/>
              </w:rPr>
              <w:fldChar w:fldCharType="end"/>
            </w:r>
          </w:hyperlink>
        </w:p>
        <w:p w14:paraId="5DFF9DE1" w14:textId="1D70B10F" w:rsidR="007F2F5C" w:rsidRDefault="00EA508E">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512431314" w:history="1">
            <w:r w:rsidR="007F2F5C" w:rsidRPr="00515F8D">
              <w:rPr>
                <w:rStyle w:val="Hyperlink"/>
                <w:noProof/>
                <w:lang w:val="en-GB"/>
              </w:rPr>
              <w:t>7.1</w:t>
            </w:r>
            <w:r w:rsidR="007F2F5C">
              <w:rPr>
                <w:rFonts w:asciiTheme="minorHAnsi" w:eastAsiaTheme="minorEastAsia" w:hAnsiTheme="minorHAnsi" w:cstheme="minorBidi"/>
                <w:noProof/>
                <w:sz w:val="22"/>
                <w:szCs w:val="22"/>
                <w:lang w:val="en-GB" w:eastAsia="en-GB"/>
              </w:rPr>
              <w:tab/>
            </w:r>
            <w:r w:rsidR="007F2F5C" w:rsidRPr="00515F8D">
              <w:rPr>
                <w:rStyle w:val="Hyperlink"/>
                <w:noProof/>
                <w:lang w:val="en-GB"/>
              </w:rPr>
              <w:t>Breach of decision-making process</w:t>
            </w:r>
            <w:r w:rsidR="007F2F5C">
              <w:rPr>
                <w:noProof/>
                <w:webHidden/>
              </w:rPr>
              <w:tab/>
            </w:r>
            <w:r w:rsidR="007F2F5C">
              <w:rPr>
                <w:noProof/>
                <w:webHidden/>
              </w:rPr>
              <w:fldChar w:fldCharType="begin"/>
            </w:r>
            <w:r w:rsidR="007F2F5C">
              <w:rPr>
                <w:noProof/>
                <w:webHidden/>
              </w:rPr>
              <w:instrText xml:space="preserve"> PAGEREF _Toc512431314 \h </w:instrText>
            </w:r>
            <w:r w:rsidR="007F2F5C">
              <w:rPr>
                <w:noProof/>
                <w:webHidden/>
              </w:rPr>
            </w:r>
            <w:r w:rsidR="007F2F5C">
              <w:rPr>
                <w:noProof/>
                <w:webHidden/>
              </w:rPr>
              <w:fldChar w:fldCharType="separate"/>
            </w:r>
            <w:r w:rsidR="007F2F5C">
              <w:rPr>
                <w:noProof/>
                <w:webHidden/>
              </w:rPr>
              <w:t>6</w:t>
            </w:r>
            <w:r w:rsidR="007F2F5C">
              <w:rPr>
                <w:noProof/>
                <w:webHidden/>
              </w:rPr>
              <w:fldChar w:fldCharType="end"/>
            </w:r>
          </w:hyperlink>
        </w:p>
        <w:p w14:paraId="717EEDDD" w14:textId="1E8C69AA" w:rsidR="00742D84" w:rsidRPr="0011139D" w:rsidRDefault="00742D84">
          <w:r w:rsidRPr="0011139D">
            <w:rPr>
              <w:b/>
              <w:bCs/>
              <w:noProof/>
            </w:rPr>
            <w:fldChar w:fldCharType="end"/>
          </w:r>
        </w:p>
      </w:sdtContent>
    </w:sdt>
    <w:p w14:paraId="2D781B77" w14:textId="77777777" w:rsidR="009D39BF" w:rsidRPr="0011139D" w:rsidRDefault="009D39BF">
      <w:pPr>
        <w:widowControl/>
        <w:autoSpaceDE/>
        <w:autoSpaceDN/>
        <w:adjustRightInd/>
        <w:spacing w:line="240" w:lineRule="auto"/>
      </w:pPr>
    </w:p>
    <w:p w14:paraId="73C27886" w14:textId="77777777" w:rsidR="009D39BF" w:rsidRPr="0011139D" w:rsidRDefault="009D39BF">
      <w:pPr>
        <w:widowControl/>
        <w:autoSpaceDE/>
        <w:autoSpaceDN/>
        <w:adjustRightInd/>
        <w:spacing w:line="240" w:lineRule="auto"/>
      </w:pPr>
    </w:p>
    <w:p w14:paraId="069693C9" w14:textId="77777777" w:rsidR="009D39BF" w:rsidRPr="0011139D" w:rsidRDefault="009D39BF">
      <w:pPr>
        <w:widowControl/>
        <w:autoSpaceDE/>
        <w:autoSpaceDN/>
        <w:adjustRightInd/>
        <w:spacing w:line="240" w:lineRule="auto"/>
      </w:pPr>
    </w:p>
    <w:p w14:paraId="59B03719" w14:textId="77777777" w:rsidR="001B657B" w:rsidRPr="0011139D" w:rsidRDefault="001B657B" w:rsidP="00DC7D14">
      <w:pPr>
        <w:widowControl/>
        <w:autoSpaceDE/>
        <w:autoSpaceDN/>
        <w:adjustRightInd/>
        <w:spacing w:line="240" w:lineRule="auto"/>
        <w:rPr>
          <w:b/>
          <w:bCs/>
          <w:kern w:val="32"/>
          <w:sz w:val="28"/>
          <w:szCs w:val="32"/>
        </w:rPr>
      </w:pPr>
    </w:p>
    <w:p w14:paraId="583E92F2" w14:textId="77777777" w:rsidR="00DC7D14" w:rsidRPr="0011139D" w:rsidRDefault="00DC7D14">
      <w:pPr>
        <w:widowControl/>
        <w:autoSpaceDE/>
        <w:autoSpaceDN/>
        <w:adjustRightInd/>
        <w:spacing w:line="240" w:lineRule="auto"/>
        <w:rPr>
          <w:b/>
          <w:bCs/>
          <w:kern w:val="32"/>
          <w:sz w:val="28"/>
          <w:szCs w:val="32"/>
          <w:highlight w:val="lightGray"/>
        </w:rPr>
      </w:pPr>
      <w:r w:rsidRPr="0011139D">
        <w:rPr>
          <w:highlight w:val="lightGray"/>
        </w:rPr>
        <w:br w:type="page"/>
      </w:r>
    </w:p>
    <w:p w14:paraId="73983816" w14:textId="77777777" w:rsidR="0011139D" w:rsidRPr="0011139D" w:rsidRDefault="0011139D" w:rsidP="0011139D">
      <w:pPr>
        <w:pStyle w:val="Heading1"/>
        <w:rPr>
          <w:lang w:val="en-GB"/>
        </w:rPr>
      </w:pPr>
      <w:bookmarkStart w:id="2" w:name="_Toc512431304"/>
      <w:r>
        <w:rPr>
          <w:lang w:val="en-GB"/>
        </w:rPr>
        <w:t xml:space="preserve">Policy </w:t>
      </w:r>
      <w:r w:rsidRPr="0011139D">
        <w:rPr>
          <w:lang w:val="en-GB"/>
        </w:rPr>
        <w:t>Background</w:t>
      </w:r>
      <w:bookmarkEnd w:id="2"/>
    </w:p>
    <w:p w14:paraId="31AC8C98" w14:textId="77777777" w:rsidR="000B53E4" w:rsidRDefault="00A11779" w:rsidP="0011139D">
      <w:r>
        <w:t>Good decision-making processes that are clear, effective and transparent are essential to good governance</w:t>
      </w:r>
      <w:r w:rsidR="000B53E4">
        <w:t xml:space="preserve">, and are a requirement </w:t>
      </w:r>
      <w:r w:rsidR="00E037C1">
        <w:t>for a local Healthwatch</w:t>
      </w:r>
      <w:r w:rsidR="00846035">
        <w:t xml:space="preserve"> when making ‘relevant decisions’</w:t>
      </w:r>
      <w:r w:rsidR="000B53E4">
        <w:t>. This policy will provide clarity of where and what decisions are taken</w:t>
      </w:r>
      <w:r w:rsidR="00846035">
        <w:t xml:space="preserve"> within the scope of this policy</w:t>
      </w:r>
      <w:r w:rsidR="000B53E4">
        <w:t>, by whom and whose responsibility it is to action.</w:t>
      </w:r>
      <w:r w:rsidR="000B53E4" w:rsidRPr="000B53E4">
        <w:t xml:space="preserve"> </w:t>
      </w:r>
      <w:r w:rsidR="000B53E4">
        <w:t>This will include ensuring that key strategic decisions are evidence-based, transparent, lead to real outcomes,</w:t>
      </w:r>
      <w:r w:rsidR="000B53E4" w:rsidRPr="00A11779">
        <w:t xml:space="preserve"> </w:t>
      </w:r>
      <w:r w:rsidR="000B53E4">
        <w:t>and are made in a consistent and fair way.</w:t>
      </w:r>
    </w:p>
    <w:p w14:paraId="439A6C93" w14:textId="77777777" w:rsidR="000B53E4" w:rsidRPr="000B53E4" w:rsidRDefault="000B53E4" w:rsidP="000B53E4">
      <w:pPr>
        <w:pStyle w:val="Heading1"/>
        <w:rPr>
          <w:lang w:val="en-GB"/>
        </w:rPr>
      </w:pPr>
      <w:bookmarkStart w:id="3" w:name="_Toc512431305"/>
      <w:r w:rsidRPr="000B53E4">
        <w:rPr>
          <w:lang w:val="en-GB"/>
        </w:rPr>
        <w:t>Policy</w:t>
      </w:r>
      <w:bookmarkEnd w:id="3"/>
    </w:p>
    <w:p w14:paraId="16441693" w14:textId="24D5D19D" w:rsidR="00846035" w:rsidRPr="0011139D" w:rsidRDefault="000B53E4" w:rsidP="00846035">
      <w:pPr>
        <w:spacing w:before="120"/>
        <w:rPr>
          <w:rFonts w:cs="Arial"/>
          <w:lang w:val="en-GB"/>
        </w:rPr>
      </w:pPr>
      <w:r>
        <w:t>Healthwatch Welford and Wrekin (HWT&amp;W) will ens</w:t>
      </w:r>
      <w:r w:rsidR="00E037C1">
        <w:t xml:space="preserve">ure that the way it makes </w:t>
      </w:r>
      <w:r w:rsidR="00846035">
        <w:t xml:space="preserve">relevant </w:t>
      </w:r>
      <w:r w:rsidR="00E037C1">
        <w:t xml:space="preserve">decisions and the outcome of any decisions made </w:t>
      </w:r>
      <w:r w:rsidR="00A11779">
        <w:t xml:space="preserve">meet </w:t>
      </w:r>
      <w:r w:rsidR="00846035">
        <w:t xml:space="preserve">Healthwatch statutory functions and expectations, </w:t>
      </w:r>
      <w:r w:rsidR="00A11779">
        <w:t>the e</w:t>
      </w:r>
      <w:r w:rsidR="00846035">
        <w:t>xpectations of good governance,</w:t>
      </w:r>
      <w:r>
        <w:t xml:space="preserve"> </w:t>
      </w:r>
      <w:r w:rsidR="0019105C">
        <w:t xml:space="preserve">and </w:t>
      </w:r>
      <w:r w:rsidR="00846035">
        <w:t xml:space="preserve">are made </w:t>
      </w:r>
      <w:r w:rsidR="0019105C">
        <w:t>in the interests of the people of Telford and Wrekin</w:t>
      </w:r>
      <w:r>
        <w:t xml:space="preserve">. </w:t>
      </w:r>
      <w:r w:rsidR="00846035" w:rsidRPr="0011139D">
        <w:rPr>
          <w:rFonts w:cs="Arial"/>
        </w:rPr>
        <w:t>Adherence to this policy is essential to ensure that Healthwatch remains a trustworthy and credible organisation able to fulfill its purpose.</w:t>
      </w:r>
    </w:p>
    <w:p w14:paraId="4D22D0B4" w14:textId="77777777" w:rsidR="00846035" w:rsidRPr="00E037C1" w:rsidRDefault="00846035" w:rsidP="00846035">
      <w:pPr>
        <w:pStyle w:val="Heading2"/>
        <w:rPr>
          <w:lang w:val="en-GB"/>
        </w:rPr>
      </w:pPr>
      <w:bookmarkStart w:id="4" w:name="_Toc512431306"/>
      <w:r w:rsidRPr="0011139D">
        <w:rPr>
          <w:lang w:val="en-GB"/>
        </w:rPr>
        <w:t>Legal Framework</w:t>
      </w:r>
      <w:bookmarkEnd w:id="4"/>
      <w:r w:rsidRPr="0011139D">
        <w:rPr>
          <w:lang w:val="en-GB"/>
        </w:rPr>
        <w:t xml:space="preserve"> </w:t>
      </w:r>
    </w:p>
    <w:p w14:paraId="4BAD7849" w14:textId="39D7312D" w:rsidR="00846035" w:rsidRDefault="00846035" w:rsidP="00846035">
      <w:pPr>
        <w:spacing w:before="120"/>
      </w:pPr>
      <w:r>
        <w:t xml:space="preserve">As a company limited by guarantee and a Local Healthwatch organisation, decision-making within Healthwatch Telford and Wrekin is governed by the following: </w:t>
      </w:r>
    </w:p>
    <w:p w14:paraId="58EC5BC3" w14:textId="77777777" w:rsidR="00846035" w:rsidRDefault="00846035" w:rsidP="006053C6">
      <w:pPr>
        <w:pStyle w:val="ListParagraph"/>
        <w:numPr>
          <w:ilvl w:val="0"/>
          <w:numId w:val="31"/>
        </w:numPr>
        <w:spacing w:before="120"/>
        <w:contextualSpacing w:val="0"/>
      </w:pPr>
      <w:r>
        <w:t>The NHS Bodies and Local Authorities (</w:t>
      </w:r>
      <w:r w:rsidR="00CB22F0">
        <w:t xml:space="preserve">Regulation 40, </w:t>
      </w:r>
      <w:r>
        <w:t>Partnership Arrangements, Care Trusts, Public Health and Local Healthwatch) Regulations 2012</w:t>
      </w:r>
    </w:p>
    <w:p w14:paraId="7E894079" w14:textId="77777777" w:rsidR="00846035" w:rsidRDefault="00846035" w:rsidP="006053C6">
      <w:pPr>
        <w:pStyle w:val="ListParagraph"/>
        <w:numPr>
          <w:ilvl w:val="0"/>
          <w:numId w:val="31"/>
        </w:numPr>
        <w:spacing w:before="120"/>
        <w:contextualSpacing w:val="0"/>
      </w:pPr>
      <w:r>
        <w:t>The Local Government and Public Involvement Act 2007, amended by the Health and Social Care Act 2012</w:t>
      </w:r>
    </w:p>
    <w:p w14:paraId="727B4CBA" w14:textId="77777777" w:rsidR="00846035" w:rsidRDefault="00846035" w:rsidP="006053C6">
      <w:pPr>
        <w:pStyle w:val="ListParagraph"/>
        <w:numPr>
          <w:ilvl w:val="0"/>
          <w:numId w:val="31"/>
        </w:numPr>
        <w:spacing w:before="120"/>
        <w:contextualSpacing w:val="0"/>
      </w:pPr>
      <w:r>
        <w:t>The 2006 Companies Act</w:t>
      </w:r>
    </w:p>
    <w:p w14:paraId="7F3B75A0" w14:textId="77777777" w:rsidR="00846035" w:rsidRDefault="00846035" w:rsidP="006053C6">
      <w:pPr>
        <w:pStyle w:val="ListParagraph"/>
        <w:numPr>
          <w:ilvl w:val="0"/>
          <w:numId w:val="31"/>
        </w:numPr>
        <w:spacing w:before="120"/>
        <w:contextualSpacing w:val="0"/>
      </w:pPr>
      <w:r>
        <w:t>The 2012 Health and Social Care Act</w:t>
      </w:r>
    </w:p>
    <w:p w14:paraId="271C7748" w14:textId="77777777" w:rsidR="00846035" w:rsidRDefault="00846035" w:rsidP="006053C6">
      <w:pPr>
        <w:pStyle w:val="ListParagraph"/>
        <w:numPr>
          <w:ilvl w:val="0"/>
          <w:numId w:val="31"/>
        </w:numPr>
        <w:spacing w:before="120"/>
        <w:ind w:left="714" w:hanging="357"/>
        <w:contextualSpacing w:val="0"/>
      </w:pPr>
      <w:r>
        <w:t>Healthwatch Telford and Wrekin Ltd Articles of Association</w:t>
      </w:r>
    </w:p>
    <w:p w14:paraId="0A18DE40" w14:textId="77777777" w:rsidR="000B53E4" w:rsidRPr="00CB22F0" w:rsidRDefault="00846035" w:rsidP="006053C6">
      <w:pPr>
        <w:pStyle w:val="Default"/>
        <w:spacing w:before="120"/>
        <w:rPr>
          <w:rFonts w:ascii="Trebuchet MS" w:hAnsi="Trebuchet MS"/>
        </w:rPr>
      </w:pPr>
      <w:r>
        <w:rPr>
          <w:rFonts w:ascii="Trebuchet MS" w:hAnsi="Trebuchet MS" w:cs="Arial"/>
        </w:rPr>
        <w:t>HWT&amp;W</w:t>
      </w:r>
      <w:r w:rsidRPr="0011139D">
        <w:rPr>
          <w:rFonts w:ascii="Trebuchet MS" w:hAnsi="Trebuchet MS" w:cs="Arial"/>
        </w:rPr>
        <w:t xml:space="preserve"> shall act in accordance with the legislation</w:t>
      </w:r>
      <w:r>
        <w:rPr>
          <w:rFonts w:ascii="Trebuchet MS" w:hAnsi="Trebuchet MS" w:cs="Arial"/>
        </w:rPr>
        <w:t xml:space="preserve"> – </w:t>
      </w:r>
      <w:r>
        <w:rPr>
          <w:rFonts w:ascii="Trebuchet MS" w:hAnsi="Trebuchet MS"/>
        </w:rPr>
        <w:t>“</w:t>
      </w:r>
      <w:r w:rsidRPr="00E037C1">
        <w:rPr>
          <w:rFonts w:ascii="Trebuchet MS" w:hAnsi="Trebuchet MS"/>
        </w:rPr>
        <w:t>Understanding the Legislation: An overview of the legal requirements for local Healthwatch’, August 2013</w:t>
      </w:r>
      <w:r>
        <w:rPr>
          <w:rFonts w:ascii="Trebuchet MS" w:hAnsi="Trebuchet MS"/>
        </w:rPr>
        <w:t>”</w:t>
      </w:r>
      <w:r w:rsidRPr="00E037C1">
        <w:rPr>
          <w:rFonts w:ascii="Trebuchet MS" w:hAnsi="Trebuchet MS"/>
        </w:rPr>
        <w:t>.</w:t>
      </w:r>
    </w:p>
    <w:p w14:paraId="7712EF99" w14:textId="77777777" w:rsidR="00CB22F0" w:rsidRDefault="00CB22F0" w:rsidP="00CB22F0">
      <w:pPr>
        <w:spacing w:before="120"/>
      </w:pPr>
      <w:r>
        <w:t xml:space="preserve">The policy and supporting procedures must include: </w:t>
      </w:r>
    </w:p>
    <w:p w14:paraId="2C7EC32F" w14:textId="77777777" w:rsidR="00CB22F0" w:rsidRDefault="00CB22F0" w:rsidP="006053C6">
      <w:pPr>
        <w:pStyle w:val="ListParagraph"/>
        <w:numPr>
          <w:ilvl w:val="0"/>
          <w:numId w:val="32"/>
        </w:numPr>
        <w:spacing w:before="120"/>
        <w:contextualSpacing w:val="0"/>
      </w:pPr>
      <w:r>
        <w:t>Provision as to who may make ‘relevant decisions’</w:t>
      </w:r>
    </w:p>
    <w:p w14:paraId="1612ACA1" w14:textId="77777777" w:rsidR="00CB22F0" w:rsidRDefault="00CB22F0" w:rsidP="006053C6">
      <w:pPr>
        <w:pStyle w:val="ListParagraph"/>
        <w:numPr>
          <w:ilvl w:val="0"/>
          <w:numId w:val="32"/>
        </w:numPr>
        <w:spacing w:before="120"/>
        <w:contextualSpacing w:val="0"/>
      </w:pPr>
      <w:r>
        <w:t>Provision for involving ‘lay persons’ or volunteers in such decisions</w:t>
      </w:r>
    </w:p>
    <w:p w14:paraId="65756C0F" w14:textId="77777777" w:rsidR="00CB22F0" w:rsidRDefault="00CB22F0" w:rsidP="006053C6">
      <w:pPr>
        <w:pStyle w:val="ListParagraph"/>
        <w:numPr>
          <w:ilvl w:val="0"/>
          <w:numId w:val="32"/>
        </w:numPr>
        <w:spacing w:before="120"/>
        <w:ind w:left="714" w:hanging="357"/>
        <w:contextualSpacing w:val="0"/>
      </w:pPr>
      <w:r>
        <w:t xml:space="preserve">Provision for dealing with breaches of any procedure referred to in the two previous points, which should include circumstances in which a breach would be referred to the local authority commissioning the HW service. </w:t>
      </w:r>
    </w:p>
    <w:p w14:paraId="64BF77E7" w14:textId="77777777" w:rsidR="00846035" w:rsidRDefault="00846035" w:rsidP="0011139D"/>
    <w:p w14:paraId="2067CDCF" w14:textId="77777777" w:rsidR="00846035" w:rsidRDefault="00846035" w:rsidP="0011139D"/>
    <w:p w14:paraId="494F3F76" w14:textId="77777777" w:rsidR="00846035" w:rsidRPr="00CB22F0" w:rsidRDefault="00CB22F0" w:rsidP="00CB22F0">
      <w:pPr>
        <w:pStyle w:val="Heading2"/>
        <w:rPr>
          <w:lang w:val="en-GB"/>
        </w:rPr>
      </w:pPr>
      <w:bookmarkStart w:id="5" w:name="_Toc512431307"/>
      <w:r w:rsidRPr="00CB22F0">
        <w:rPr>
          <w:lang w:val="en-GB"/>
        </w:rPr>
        <w:t>Scope</w:t>
      </w:r>
      <w:bookmarkEnd w:id="5"/>
    </w:p>
    <w:p w14:paraId="004273BA" w14:textId="04217438" w:rsidR="00CB22F0" w:rsidRDefault="006053C6" w:rsidP="0011139D">
      <w:r>
        <w:t>This policy applies to all HWT&amp;W employees and volunteers, including the Board of HWT&amp;W</w:t>
      </w:r>
      <w:r w:rsidR="007F2F5C">
        <w:t xml:space="preserve"> Ltd</w:t>
      </w:r>
      <w:r>
        <w:t xml:space="preserve">. </w:t>
      </w:r>
      <w:r w:rsidR="00FA4086">
        <w:t>Th</w:t>
      </w:r>
      <w:r>
        <w:t>e</w:t>
      </w:r>
      <w:r w:rsidR="00FA4086">
        <w:t xml:space="preserve"> policy relates to any relevant decisions using resources, powers, or property (e.g</w:t>
      </w:r>
      <w:r w:rsidR="007F2F5C">
        <w:t>.</w:t>
      </w:r>
      <w:r w:rsidR="00FA4086">
        <w:t xml:space="preserve"> Logo) attached to the contract for HWT&amp;W. </w:t>
      </w:r>
      <w:r w:rsidR="00CB22F0">
        <w:t>For the purposes of this policy and in compliance with the legal framework, ‘relevant decisions’ include:</w:t>
      </w:r>
    </w:p>
    <w:p w14:paraId="105E6297" w14:textId="77777777" w:rsidR="00D57884" w:rsidRPr="0011139D" w:rsidRDefault="00D57884" w:rsidP="00D57884">
      <w:pPr>
        <w:widowControl/>
        <w:numPr>
          <w:ilvl w:val="0"/>
          <w:numId w:val="33"/>
        </w:numPr>
        <w:autoSpaceDE/>
        <w:autoSpaceDN/>
        <w:adjustRightInd/>
        <w:spacing w:before="120"/>
        <w:ind w:left="714" w:hanging="357"/>
      </w:pPr>
      <w:r w:rsidRPr="0011139D">
        <w:t xml:space="preserve">How </w:t>
      </w:r>
      <w:r>
        <w:t>HWT&amp;W</w:t>
      </w:r>
      <w:r w:rsidRPr="0011139D">
        <w:t xml:space="preserve"> undertakes activities</w:t>
      </w:r>
      <w:r>
        <w:t xml:space="preserve"> – planning and agreeing the statutory activities work programme;</w:t>
      </w:r>
      <w:r w:rsidRPr="0011139D">
        <w:t xml:space="preserve"> </w:t>
      </w:r>
    </w:p>
    <w:p w14:paraId="0FF9014B" w14:textId="77777777" w:rsidR="00D57884" w:rsidRPr="0011139D" w:rsidRDefault="00D57884" w:rsidP="00D57884">
      <w:pPr>
        <w:widowControl/>
        <w:numPr>
          <w:ilvl w:val="0"/>
          <w:numId w:val="33"/>
        </w:numPr>
        <w:autoSpaceDE/>
        <w:autoSpaceDN/>
        <w:adjustRightInd/>
        <w:spacing w:before="120"/>
      </w:pPr>
      <w:r w:rsidRPr="0011139D">
        <w:t xml:space="preserve">Which </w:t>
      </w:r>
      <w:r>
        <w:t>h</w:t>
      </w:r>
      <w:r w:rsidRPr="0011139D">
        <w:t xml:space="preserve">ealth and </w:t>
      </w:r>
      <w:r>
        <w:t>c</w:t>
      </w:r>
      <w:r w:rsidRPr="0011139D">
        <w:t>are services are to be considered</w:t>
      </w:r>
      <w:r>
        <w:t>/covered for the activity and scope of the work programme;</w:t>
      </w:r>
    </w:p>
    <w:p w14:paraId="5EB35232" w14:textId="127427F7" w:rsidR="00D57884" w:rsidRPr="0011139D" w:rsidRDefault="00D57884" w:rsidP="00D57884">
      <w:pPr>
        <w:widowControl/>
        <w:numPr>
          <w:ilvl w:val="0"/>
          <w:numId w:val="33"/>
        </w:numPr>
        <w:autoSpaceDE/>
        <w:autoSpaceDN/>
        <w:adjustRightInd/>
        <w:spacing w:before="120"/>
      </w:pPr>
      <w:r>
        <w:t>Committing resources (e.g</w:t>
      </w:r>
      <w:r w:rsidR="007F2F5C">
        <w:t>.</w:t>
      </w:r>
      <w:r>
        <w:t xml:space="preserve"> spending money, committing staff and volunteer time);</w:t>
      </w:r>
    </w:p>
    <w:p w14:paraId="20654427" w14:textId="0D2DFB3C" w:rsidR="00D57884" w:rsidRPr="0011139D" w:rsidRDefault="00D57884" w:rsidP="00D57884">
      <w:pPr>
        <w:widowControl/>
        <w:numPr>
          <w:ilvl w:val="0"/>
          <w:numId w:val="33"/>
        </w:numPr>
        <w:autoSpaceDE/>
        <w:autoSpaceDN/>
        <w:adjustRightInd/>
        <w:spacing w:before="120"/>
      </w:pPr>
      <w:r>
        <w:t>R</w:t>
      </w:r>
      <w:r w:rsidRPr="0011139D">
        <w:t>equest</w:t>
      </w:r>
      <w:r>
        <w:t>ing</w:t>
      </w:r>
      <w:r w:rsidRPr="0011139D">
        <w:t xml:space="preserve"> information </w:t>
      </w:r>
      <w:r>
        <w:t>(e.g</w:t>
      </w:r>
      <w:r w:rsidR="007F2F5C">
        <w:t>.</w:t>
      </w:r>
      <w:r>
        <w:t xml:space="preserve"> </w:t>
      </w:r>
      <w:r w:rsidRPr="0011139D">
        <w:t xml:space="preserve">from </w:t>
      </w:r>
      <w:r>
        <w:t>s</w:t>
      </w:r>
      <w:r w:rsidRPr="0011139D">
        <w:t>uppliers or Commissioners</w:t>
      </w:r>
      <w:r>
        <w:t>);</w:t>
      </w:r>
    </w:p>
    <w:p w14:paraId="67F45F1D" w14:textId="77777777" w:rsidR="00D57884" w:rsidRPr="0011139D" w:rsidRDefault="00D57884" w:rsidP="00D57884">
      <w:pPr>
        <w:widowControl/>
        <w:numPr>
          <w:ilvl w:val="0"/>
          <w:numId w:val="33"/>
        </w:numPr>
        <w:autoSpaceDE/>
        <w:autoSpaceDN/>
        <w:adjustRightInd/>
        <w:spacing w:before="120"/>
      </w:pPr>
      <w:r>
        <w:t>Referring a report or recommendation to a service provider or commissioner of services;</w:t>
      </w:r>
      <w:r w:rsidRPr="0011139D">
        <w:t xml:space="preserve"> </w:t>
      </w:r>
    </w:p>
    <w:p w14:paraId="24F1B84C" w14:textId="3D4570F8" w:rsidR="00D57884" w:rsidRPr="0011139D" w:rsidRDefault="00D57884" w:rsidP="00D57884">
      <w:pPr>
        <w:widowControl/>
        <w:numPr>
          <w:ilvl w:val="0"/>
          <w:numId w:val="33"/>
        </w:numPr>
        <w:autoSpaceDE/>
        <w:autoSpaceDN/>
        <w:adjustRightInd/>
        <w:spacing w:before="120"/>
      </w:pPr>
      <w:r>
        <w:t xml:space="preserve">Selecting </w:t>
      </w:r>
      <w:r w:rsidRPr="0011139D">
        <w:t xml:space="preserve">premises </w:t>
      </w:r>
      <w:r>
        <w:t xml:space="preserve">and service provider for HWT&amp;W </w:t>
      </w:r>
      <w:r w:rsidRPr="0011139D">
        <w:t xml:space="preserve">to </w:t>
      </w:r>
      <w:r>
        <w:t>undertake enter and v</w:t>
      </w:r>
      <w:r w:rsidRPr="0011139D">
        <w:t>iew</w:t>
      </w:r>
      <w:r>
        <w:t xml:space="preserve"> visits</w:t>
      </w:r>
      <w:r w:rsidRPr="0011139D">
        <w:t>, and when t</w:t>
      </w:r>
      <w:r>
        <w:t>hose premises are to be visited;</w:t>
      </w:r>
    </w:p>
    <w:p w14:paraId="68381080" w14:textId="77777777" w:rsidR="00D57884" w:rsidRPr="0011139D" w:rsidRDefault="00D57884" w:rsidP="00D57884">
      <w:pPr>
        <w:widowControl/>
        <w:numPr>
          <w:ilvl w:val="0"/>
          <w:numId w:val="33"/>
        </w:numPr>
        <w:autoSpaceDE/>
        <w:autoSpaceDN/>
        <w:adjustRightInd/>
        <w:spacing w:before="120"/>
      </w:pPr>
      <w:r w:rsidRPr="0011139D">
        <w:t xml:space="preserve">Whether to refer a matter </w:t>
      </w:r>
      <w:r>
        <w:t xml:space="preserve">directly </w:t>
      </w:r>
      <w:r w:rsidRPr="0011139D">
        <w:t xml:space="preserve">to an </w:t>
      </w:r>
      <w:r>
        <w:t>o</w:t>
      </w:r>
      <w:r w:rsidRPr="0011139D">
        <w:t xml:space="preserve">verview and </w:t>
      </w:r>
      <w:r>
        <w:t>s</w:t>
      </w:r>
      <w:r w:rsidRPr="0011139D">
        <w:t>crutiny committee</w:t>
      </w:r>
      <w:r>
        <w:t>;</w:t>
      </w:r>
    </w:p>
    <w:p w14:paraId="49DDF6FC" w14:textId="77777777" w:rsidR="00D57884" w:rsidRPr="0011139D" w:rsidRDefault="00D57884" w:rsidP="00D57884">
      <w:pPr>
        <w:widowControl/>
        <w:numPr>
          <w:ilvl w:val="0"/>
          <w:numId w:val="33"/>
        </w:numPr>
        <w:autoSpaceDE/>
        <w:autoSpaceDN/>
        <w:adjustRightInd/>
        <w:spacing w:before="120"/>
      </w:pPr>
      <w:r w:rsidRPr="0011139D">
        <w:t>Whether to report a matter to another person</w:t>
      </w:r>
      <w:r>
        <w:t xml:space="preserve"> or organisation;</w:t>
      </w:r>
      <w:r w:rsidRPr="0011139D">
        <w:t xml:space="preserve"> </w:t>
      </w:r>
    </w:p>
    <w:p w14:paraId="6358FE62" w14:textId="77777777" w:rsidR="00D57884" w:rsidRDefault="00D57884" w:rsidP="00D57884">
      <w:pPr>
        <w:widowControl/>
        <w:numPr>
          <w:ilvl w:val="0"/>
          <w:numId w:val="33"/>
        </w:numPr>
        <w:autoSpaceDE/>
        <w:autoSpaceDN/>
        <w:adjustRightInd/>
        <w:spacing w:before="120"/>
      </w:pPr>
      <w:r>
        <w:t>Decisions about s</w:t>
      </w:r>
      <w:r w:rsidRPr="0011139D">
        <w:t>ubcontracting</w:t>
      </w:r>
      <w:r>
        <w:t xml:space="preserve">; </w:t>
      </w:r>
    </w:p>
    <w:p w14:paraId="6823D176" w14:textId="77777777" w:rsidR="00CB22F0" w:rsidRPr="00CB22F0" w:rsidRDefault="00CB22F0" w:rsidP="00D57884">
      <w:pPr>
        <w:pStyle w:val="Heading2"/>
      </w:pPr>
      <w:bookmarkStart w:id="6" w:name="_Toc512431308"/>
      <w:r w:rsidRPr="00CB22F0">
        <w:t>Exclusions to this Policy</w:t>
      </w:r>
      <w:bookmarkEnd w:id="6"/>
    </w:p>
    <w:p w14:paraId="4127903B" w14:textId="77777777" w:rsidR="00CB22F0" w:rsidRDefault="00CB22F0" w:rsidP="00CB22F0">
      <w:r>
        <w:t xml:space="preserve">This policy applies to the making of “relevant-decisions” and does not apply to </w:t>
      </w:r>
      <w:r w:rsidRPr="0011139D">
        <w:t>internal</w:t>
      </w:r>
      <w:r>
        <w:t xml:space="preserve"> </w:t>
      </w:r>
      <w:r w:rsidR="006053C6">
        <w:t xml:space="preserve">governance, </w:t>
      </w:r>
      <w:r>
        <w:t>business or administrative activity decisions, nor the office functions that may be required to carry out exploratory work, priority assessments and/or identifying resources, prior to making any of the relevant decisions</w:t>
      </w:r>
      <w:r w:rsidR="00D57884">
        <w:t>.</w:t>
      </w:r>
      <w:r>
        <w:t xml:space="preserve"> </w:t>
      </w:r>
    </w:p>
    <w:p w14:paraId="25D504A5" w14:textId="77777777" w:rsidR="0019105C" w:rsidRPr="006D35BA" w:rsidRDefault="006D35BA" w:rsidP="006D35BA">
      <w:pPr>
        <w:pStyle w:val="Heading1"/>
        <w:rPr>
          <w:lang w:val="en-GB"/>
        </w:rPr>
      </w:pPr>
      <w:bookmarkStart w:id="7" w:name="_Toc512431309"/>
      <w:r w:rsidRPr="006D35BA">
        <w:rPr>
          <w:lang w:val="en-GB"/>
        </w:rPr>
        <w:t>Responsibilities</w:t>
      </w:r>
      <w:bookmarkEnd w:id="7"/>
    </w:p>
    <w:p w14:paraId="78200647" w14:textId="77777777" w:rsidR="006053C6" w:rsidRDefault="006053C6" w:rsidP="0011139D">
      <w:r>
        <w:t xml:space="preserve">Overall accountability for decision making in HWT&amp;W resides with the Board of Directors.  </w:t>
      </w:r>
      <w:r w:rsidR="0011139D" w:rsidRPr="0011139D">
        <w:t>The Board</w:t>
      </w:r>
      <w:r>
        <w:t>’s role is:</w:t>
      </w:r>
    </w:p>
    <w:p w14:paraId="7F9DD7E9" w14:textId="77777777" w:rsidR="006053C6" w:rsidRDefault="006053C6" w:rsidP="006053C6">
      <w:pPr>
        <w:pStyle w:val="ListParagraph"/>
        <w:numPr>
          <w:ilvl w:val="0"/>
          <w:numId w:val="37"/>
        </w:numPr>
      </w:pPr>
      <w:r>
        <w:t>Setting and ensuring the delivery of the overall strategy;</w:t>
      </w:r>
    </w:p>
    <w:p w14:paraId="65710B3D" w14:textId="77777777" w:rsidR="006053C6" w:rsidRDefault="006053C6" w:rsidP="006053C6">
      <w:pPr>
        <w:pStyle w:val="ListParagraph"/>
        <w:numPr>
          <w:ilvl w:val="0"/>
          <w:numId w:val="37"/>
        </w:numPr>
      </w:pPr>
      <w:r>
        <w:t>Stewardship and accountability for the delivery of the strategy;</w:t>
      </w:r>
    </w:p>
    <w:p w14:paraId="3CC91E45" w14:textId="77777777" w:rsidR="006053C6" w:rsidRDefault="006053C6" w:rsidP="006053C6">
      <w:pPr>
        <w:pStyle w:val="ListParagraph"/>
        <w:numPr>
          <w:ilvl w:val="0"/>
          <w:numId w:val="37"/>
        </w:numPr>
      </w:pPr>
      <w:r>
        <w:t>Governance and assurance.</w:t>
      </w:r>
    </w:p>
    <w:p w14:paraId="0A9B0141" w14:textId="77777777" w:rsidR="006053C6" w:rsidRDefault="006053C6" w:rsidP="006053C6"/>
    <w:p w14:paraId="778BD953" w14:textId="77777777" w:rsidR="00F863EB" w:rsidRDefault="0011139D" w:rsidP="00F863EB">
      <w:pPr>
        <w:spacing w:before="120"/>
      </w:pPr>
      <w:r>
        <w:t xml:space="preserve">Board directors </w:t>
      </w:r>
      <w:r w:rsidRPr="0011139D">
        <w:t>are volunteers</w:t>
      </w:r>
      <w:r>
        <w:t>, except the Healthwatch Managing Director who is paid a stipend for staff management and operational management responsibilities</w:t>
      </w:r>
      <w:r w:rsidRPr="0011139D">
        <w:t xml:space="preserve">.  </w:t>
      </w:r>
      <w:r w:rsidR="006053C6">
        <w:t>‘Relevant d</w:t>
      </w:r>
      <w:r>
        <w:t>ecision</w:t>
      </w:r>
      <w:r w:rsidR="00442C28">
        <w:t>s</w:t>
      </w:r>
      <w:r w:rsidR="006053C6">
        <w:t>’</w:t>
      </w:r>
      <w:r>
        <w:t xml:space="preserve"> will be made </w:t>
      </w:r>
      <w:r w:rsidRPr="0011139D">
        <w:t>at Board Meetings held in public</w:t>
      </w:r>
      <w:r w:rsidR="00DA6E42">
        <w:t>.</w:t>
      </w:r>
      <w:r>
        <w:t xml:space="preserve"> </w:t>
      </w:r>
      <w:r w:rsidR="00717FF1">
        <w:t xml:space="preserve">When it is necessary to </w:t>
      </w:r>
      <w:r w:rsidR="00DA6E42">
        <w:t>decide</w:t>
      </w:r>
      <w:r w:rsidR="00717FF1">
        <w:t xml:space="preserve"> at other times, the </w:t>
      </w:r>
      <w:r w:rsidR="00DA6E42">
        <w:t xml:space="preserve">relevant </w:t>
      </w:r>
      <w:r w:rsidR="00717FF1">
        <w:t xml:space="preserve">decision(s) will be ratified at the subsequent Board meeting in Public. </w:t>
      </w:r>
    </w:p>
    <w:p w14:paraId="4B1D46A1" w14:textId="77777777" w:rsidR="00F863EB" w:rsidRDefault="00F863EB" w:rsidP="00F863EB">
      <w:pPr>
        <w:spacing w:before="120"/>
      </w:pPr>
      <w:r>
        <w:t xml:space="preserve">HWT&amp;W Board has delegated some responsibilities to committees of the Board (or a task group) to facilitate its effectiveness. Such committees are chaired by a Board member of HWT&amp;W, and membership includes a combination of board directors and staff, and may include volunteers and external representation, depending on the business of the meeting and committee ‘Terms of Reference’. Committees established include: Finance and Income committee, and Enter and View committee.  Committees enable the business of HWT&amp;W to be taken forwards in an efficient and timely manner. The Board may delegate responsibility for making relevant decisions to a committee as documented in the Committee Terms of Reference or when specifically requested to do so by the Board. The Committee Terms of Reference clarifies the circumstances in which the committee may make relevant decisions on behalf of the Board, or refer them to the Board.  </w:t>
      </w:r>
    </w:p>
    <w:p w14:paraId="3D2B6388" w14:textId="77777777" w:rsidR="00F863EB" w:rsidRDefault="00F863EB" w:rsidP="00F863EB">
      <w:pPr>
        <w:pStyle w:val="Heading1"/>
      </w:pPr>
      <w:bookmarkStart w:id="8" w:name="_Toc512431310"/>
      <w:r>
        <w:t>Recording and Publishing Decisions</w:t>
      </w:r>
      <w:bookmarkEnd w:id="8"/>
    </w:p>
    <w:p w14:paraId="44963877" w14:textId="77777777" w:rsidR="00F863EB" w:rsidRDefault="00F863EB" w:rsidP="0029567F">
      <w:pPr>
        <w:spacing w:before="120"/>
      </w:pPr>
      <w:r>
        <w:t>Relevant decisions made will be recorded in minutes or notes of the meeting at which the decision was made.  Minutes of committee meetings are recorded including any relevant decisions made, and are made available to all Board members.</w:t>
      </w:r>
    </w:p>
    <w:p w14:paraId="520101D3" w14:textId="77777777" w:rsidR="00717FF1" w:rsidRDefault="00F863EB" w:rsidP="0029567F">
      <w:pPr>
        <w:spacing w:before="120"/>
      </w:pPr>
      <w:r>
        <w:t>Decisions made or ratified at Board meetings held in public are recorded within the minutes</w:t>
      </w:r>
      <w:r w:rsidR="004E5C88">
        <w:t>,</w:t>
      </w:r>
      <w:r>
        <w:t xml:space="preserve"> and published on the HWT&amp;W website.  </w:t>
      </w:r>
    </w:p>
    <w:p w14:paraId="0BAFD844" w14:textId="77777777" w:rsidR="003105B9" w:rsidRDefault="003105B9" w:rsidP="003105B9">
      <w:pPr>
        <w:pStyle w:val="Heading1"/>
      </w:pPr>
      <w:bookmarkStart w:id="9" w:name="_Toc512431311"/>
      <w:r>
        <w:t>Appeals Against Decisions</w:t>
      </w:r>
      <w:bookmarkEnd w:id="9"/>
    </w:p>
    <w:p w14:paraId="74086FA8" w14:textId="77777777" w:rsidR="003105B9" w:rsidRPr="003105B9" w:rsidRDefault="003105B9" w:rsidP="003105B9">
      <w:r>
        <w:t xml:space="preserve">The Board of HWT&amp;W will reconsider a decision when an issue, change of circumstances, or new evidence arises, which might prompt the Board to reach a different decision.  </w:t>
      </w:r>
    </w:p>
    <w:p w14:paraId="02B080C3" w14:textId="77777777" w:rsidR="0029567F" w:rsidRDefault="00F863EB" w:rsidP="0029567F">
      <w:pPr>
        <w:pStyle w:val="Heading1"/>
      </w:pPr>
      <w:bookmarkStart w:id="10" w:name="_Toc512431312"/>
      <w:r>
        <w:t xml:space="preserve">Breach in </w:t>
      </w:r>
      <w:r w:rsidR="0029567F">
        <w:t>Decision</w:t>
      </w:r>
      <w:r>
        <w:t xml:space="preserve"> Making</w:t>
      </w:r>
      <w:bookmarkEnd w:id="10"/>
    </w:p>
    <w:p w14:paraId="48486EB7" w14:textId="77777777" w:rsidR="00F863EB" w:rsidRDefault="00F863EB" w:rsidP="00F863EB">
      <w:pPr>
        <w:spacing w:before="120"/>
      </w:pPr>
      <w:r>
        <w:t xml:space="preserve">There may also be times when an extraordinary and/or urgent event necessitates that this policy is knowingly breached because there is neither time to seek wider involvement in the decision, or the matter is too sensitive to do so. </w:t>
      </w:r>
    </w:p>
    <w:p w14:paraId="1DCC2CF7" w14:textId="77777777" w:rsidR="00F863EB" w:rsidRDefault="00F863EB" w:rsidP="00F863EB">
      <w:pPr>
        <w:spacing w:before="120"/>
        <w:rPr>
          <w:rFonts w:cs="Arial"/>
        </w:rPr>
      </w:pPr>
      <w:r>
        <w:t>Where for whatever the reason a decision is taken without Board approval,</w:t>
      </w:r>
      <w:r w:rsidR="003105B9">
        <w:t xml:space="preserve"> or if a decision is taken in the name of HWT&amp;W without authorization in the manner set out in this policy and procedures, then the Board will determine what action is needed. This may be to </w:t>
      </w:r>
      <w:r>
        <w:t xml:space="preserve">approve the relevant decision retrospectively, or to reverse the decision. </w:t>
      </w:r>
      <w:r w:rsidRPr="0011139D">
        <w:t xml:space="preserve">If the breach is considered to have compromised </w:t>
      </w:r>
      <w:r w:rsidR="003105B9">
        <w:t>or breached the Contract between H</w:t>
      </w:r>
      <w:r w:rsidRPr="0011139D">
        <w:t>ealthwatc</w:t>
      </w:r>
      <w:r w:rsidR="003105B9">
        <w:t>h and the T&amp;W Council</w:t>
      </w:r>
      <w:r w:rsidRPr="0011139D">
        <w:t xml:space="preserve">, it will be reported to </w:t>
      </w:r>
      <w:r w:rsidR="003105B9">
        <w:t xml:space="preserve">the Contract Commissioner and further </w:t>
      </w:r>
      <w:r w:rsidRPr="0011139D">
        <w:t xml:space="preserve">action agreed.  </w:t>
      </w:r>
      <w:r>
        <w:rPr>
          <w:rFonts w:cs="Arial"/>
        </w:rPr>
        <w:t xml:space="preserve"> </w:t>
      </w:r>
    </w:p>
    <w:p w14:paraId="53F61FF7" w14:textId="77777777" w:rsidR="0011139D" w:rsidRDefault="00DA6E42" w:rsidP="0029567F">
      <w:pPr>
        <w:pStyle w:val="Heading1"/>
        <w:rPr>
          <w:lang w:val="en-GB"/>
        </w:rPr>
      </w:pPr>
      <w:bookmarkStart w:id="11" w:name="_Toc512431313"/>
      <w:r>
        <w:rPr>
          <w:lang w:val="en-GB"/>
        </w:rPr>
        <w:t>D</w:t>
      </w:r>
      <w:r w:rsidR="000E6707">
        <w:rPr>
          <w:lang w:val="en-GB"/>
        </w:rPr>
        <w:t>ecision</w:t>
      </w:r>
      <w:r w:rsidR="002D1A4D">
        <w:rPr>
          <w:lang w:val="en-GB"/>
        </w:rPr>
        <w:t xml:space="preserve"> </w:t>
      </w:r>
      <w:r w:rsidR="000E6707">
        <w:rPr>
          <w:lang w:val="en-GB"/>
        </w:rPr>
        <w:t>-</w:t>
      </w:r>
      <w:r w:rsidR="004E5C88">
        <w:rPr>
          <w:lang w:val="en-GB"/>
        </w:rPr>
        <w:t xml:space="preserve"> </w:t>
      </w:r>
      <w:r w:rsidR="000E6707">
        <w:rPr>
          <w:lang w:val="en-GB"/>
        </w:rPr>
        <w:t xml:space="preserve">Making </w:t>
      </w:r>
      <w:r w:rsidR="0011139D" w:rsidRPr="0011139D">
        <w:rPr>
          <w:lang w:val="en-GB"/>
        </w:rPr>
        <w:t>Procedures</w:t>
      </w:r>
      <w:bookmarkEnd w:id="11"/>
    </w:p>
    <w:p w14:paraId="24353C12" w14:textId="77777777" w:rsidR="00DA6E42" w:rsidRDefault="00DA6E42" w:rsidP="00DA6E42">
      <w:pPr>
        <w:spacing w:before="120"/>
      </w:pPr>
      <w:r>
        <w:t>All relevant decisions will be based on a thorough understanding of the following:</w:t>
      </w:r>
    </w:p>
    <w:p w14:paraId="294E4340" w14:textId="77777777" w:rsidR="00DA6E42" w:rsidRDefault="00DA6E42" w:rsidP="0029567F">
      <w:pPr>
        <w:pStyle w:val="ListParagraph"/>
        <w:numPr>
          <w:ilvl w:val="0"/>
          <w:numId w:val="38"/>
        </w:numPr>
        <w:spacing w:before="120"/>
        <w:ind w:left="714" w:hanging="357"/>
        <w:contextualSpacing w:val="0"/>
      </w:pPr>
      <w:r>
        <w:t>Whether the decision is related to the role of HWT&amp;W</w:t>
      </w:r>
    </w:p>
    <w:p w14:paraId="3A76B761" w14:textId="77777777" w:rsidR="00DA6E42" w:rsidRDefault="00DA6E42" w:rsidP="0029567F">
      <w:pPr>
        <w:pStyle w:val="ListParagraph"/>
        <w:numPr>
          <w:ilvl w:val="0"/>
          <w:numId w:val="38"/>
        </w:numPr>
        <w:spacing w:before="120"/>
        <w:ind w:left="714" w:hanging="357"/>
        <w:contextualSpacing w:val="0"/>
      </w:pPr>
      <w:r>
        <w:t>What problem, potential problem or need the decision will address</w:t>
      </w:r>
    </w:p>
    <w:p w14:paraId="7765E8DD" w14:textId="77777777" w:rsidR="00DA6E42" w:rsidRDefault="00DA6E42" w:rsidP="0029567F">
      <w:pPr>
        <w:pStyle w:val="ListParagraph"/>
        <w:numPr>
          <w:ilvl w:val="0"/>
          <w:numId w:val="38"/>
        </w:numPr>
        <w:spacing w:before="120"/>
        <w:ind w:left="714" w:hanging="357"/>
        <w:contextualSpacing w:val="0"/>
      </w:pPr>
      <w:r>
        <w:t>What evidence there is to justify making the decision</w:t>
      </w:r>
    </w:p>
    <w:p w14:paraId="1BA36451" w14:textId="2C0BB25C" w:rsidR="00DA6E42" w:rsidRDefault="00DA6E42" w:rsidP="0029567F">
      <w:pPr>
        <w:pStyle w:val="ListParagraph"/>
        <w:numPr>
          <w:ilvl w:val="0"/>
          <w:numId w:val="38"/>
        </w:numPr>
        <w:spacing w:before="120"/>
        <w:ind w:left="714" w:hanging="357"/>
        <w:contextualSpacing w:val="0"/>
      </w:pPr>
      <w:r>
        <w:t>What the decision needs to accomplish (e.g</w:t>
      </w:r>
      <w:r w:rsidR="007F2F5C">
        <w:t>.</w:t>
      </w:r>
      <w:r>
        <w:t xml:space="preserve"> outcomes and impact)</w:t>
      </w:r>
    </w:p>
    <w:p w14:paraId="664C3EFB" w14:textId="77777777" w:rsidR="00DA6E42" w:rsidRDefault="00DA6E42" w:rsidP="0029567F">
      <w:pPr>
        <w:pStyle w:val="ListParagraph"/>
        <w:numPr>
          <w:ilvl w:val="0"/>
          <w:numId w:val="38"/>
        </w:numPr>
        <w:spacing w:before="120"/>
        <w:ind w:left="714" w:hanging="357"/>
        <w:contextualSpacing w:val="0"/>
      </w:pPr>
      <w:r>
        <w:t>What are the risks in making the decision</w:t>
      </w:r>
    </w:p>
    <w:p w14:paraId="16190EEF" w14:textId="77777777" w:rsidR="00DA6E42" w:rsidRDefault="00DA6E42" w:rsidP="003105B9">
      <w:pPr>
        <w:spacing w:before="120"/>
      </w:pPr>
      <w:r>
        <w:t xml:space="preserve">Most of the relevant decisions approved by the </w:t>
      </w:r>
      <w:r w:rsidR="004E5C88">
        <w:t>B</w:t>
      </w:r>
      <w:r>
        <w:t xml:space="preserve">oard will be </w:t>
      </w:r>
      <w:r w:rsidR="0029567F">
        <w:t xml:space="preserve">applicable to the work of HWT&amp;W, and will be discussed as part of the annual or periodic planning cycles, and when agreed included in the HWT&amp;W workplan. These will include gathering evidence, research, priority setting, monitoring, and reporting outcomes. HWT&amp;W will use a variety of approaches and mechanisms to involve members of the public to identify which health and social care issues, or areas of interest, to investigate. </w:t>
      </w:r>
    </w:p>
    <w:p w14:paraId="5A5EA1F1" w14:textId="77777777" w:rsidR="003105B9" w:rsidRPr="003105B9" w:rsidRDefault="003105B9" w:rsidP="003105B9">
      <w:pPr>
        <w:pStyle w:val="Heading2"/>
        <w:rPr>
          <w:lang w:val="en-GB"/>
        </w:rPr>
      </w:pPr>
      <w:bookmarkStart w:id="12" w:name="_Toc512431314"/>
      <w:r w:rsidRPr="003105B9">
        <w:rPr>
          <w:lang w:val="en-GB"/>
        </w:rPr>
        <w:t>Breach of decision-making process</w:t>
      </w:r>
      <w:bookmarkEnd w:id="12"/>
    </w:p>
    <w:p w14:paraId="7B778073" w14:textId="77777777" w:rsidR="003105B9" w:rsidRDefault="003105B9" w:rsidP="003105B9">
      <w:pPr>
        <w:spacing w:before="120"/>
      </w:pPr>
      <w:r>
        <w:t>The following action</w:t>
      </w:r>
      <w:r w:rsidR="00D43B86">
        <w:t>s</w:t>
      </w:r>
      <w:r>
        <w:t xml:space="preserve"> will be taken when a breach to the decision process </w:t>
      </w:r>
      <w:r w:rsidR="00D43B86">
        <w:t>is reported, or identified:</w:t>
      </w:r>
    </w:p>
    <w:p w14:paraId="3287BD2E" w14:textId="13B4E303" w:rsidR="00D43B86" w:rsidRDefault="00D43B86" w:rsidP="006D3AE5">
      <w:pPr>
        <w:pStyle w:val="ListParagraph"/>
        <w:numPr>
          <w:ilvl w:val="0"/>
          <w:numId w:val="40"/>
        </w:numPr>
        <w:spacing w:before="120"/>
      </w:pPr>
      <w:r>
        <w:t>Anyone identifying a potential breach must report this to the Managing Director of HWT&amp;W, who will immediately notify the B</w:t>
      </w:r>
      <w:r w:rsidR="007F2F5C">
        <w:t>oa</w:t>
      </w:r>
      <w:r>
        <w:t>rd Chair.</w:t>
      </w:r>
    </w:p>
    <w:p w14:paraId="1C715BDD" w14:textId="77777777" w:rsidR="00D43B86" w:rsidRDefault="00D43B86" w:rsidP="006D3AE5">
      <w:pPr>
        <w:pStyle w:val="ListParagraph"/>
        <w:numPr>
          <w:ilvl w:val="0"/>
          <w:numId w:val="40"/>
        </w:numPr>
        <w:spacing w:before="120"/>
      </w:pPr>
      <w:r>
        <w:t>The Managing Director will review whether a breach has occurred and will report to the Chair in writing within 5 working days.</w:t>
      </w:r>
    </w:p>
    <w:p w14:paraId="43DDF212" w14:textId="77777777" w:rsidR="00D43B86" w:rsidRDefault="00D43B86" w:rsidP="006D3AE5">
      <w:pPr>
        <w:pStyle w:val="ListParagraph"/>
        <w:numPr>
          <w:ilvl w:val="0"/>
          <w:numId w:val="40"/>
        </w:numPr>
        <w:spacing w:before="120"/>
      </w:pPr>
      <w:r>
        <w:t>If the breach is related to the Contract, then the Managing Director and Chair will notify the T&amp;W Council</w:t>
      </w:r>
      <w:r w:rsidRPr="00D43B86">
        <w:t xml:space="preserve"> </w:t>
      </w:r>
      <w:r>
        <w:t>commissioner.</w:t>
      </w:r>
    </w:p>
    <w:p w14:paraId="349C6CA3" w14:textId="77777777" w:rsidR="00D43B86" w:rsidRDefault="00D43B86" w:rsidP="006D3AE5">
      <w:pPr>
        <w:pStyle w:val="ListParagraph"/>
        <w:numPr>
          <w:ilvl w:val="0"/>
          <w:numId w:val="40"/>
        </w:numPr>
        <w:spacing w:before="120"/>
      </w:pPr>
      <w:r>
        <w:t xml:space="preserve">The Managing Director will prepare written report for the Board explaining the breach that occurred, the nature of the breach(es) and what decision(s) was/were affected; recommended actions may be provided for Board consideration. </w:t>
      </w:r>
    </w:p>
    <w:p w14:paraId="700089B8" w14:textId="77777777" w:rsidR="00D43B86" w:rsidRDefault="00D43B86" w:rsidP="006D3AE5">
      <w:pPr>
        <w:pStyle w:val="ListParagraph"/>
        <w:numPr>
          <w:ilvl w:val="0"/>
          <w:numId w:val="40"/>
        </w:numPr>
        <w:spacing w:before="120"/>
      </w:pPr>
      <w:r>
        <w:t>The Managing Director and Board will review remedial actions to prevent reoccurrence</w:t>
      </w:r>
      <w:r w:rsidR="006D3AE5">
        <w:t xml:space="preserve"> in the circumstances where the breach occurred.</w:t>
      </w:r>
    </w:p>
    <w:p w14:paraId="5FB0563F" w14:textId="77777777" w:rsidR="00D43B86" w:rsidRDefault="00D43B86" w:rsidP="006D3AE5">
      <w:pPr>
        <w:pStyle w:val="ListParagraph"/>
        <w:numPr>
          <w:ilvl w:val="0"/>
          <w:numId w:val="40"/>
        </w:numPr>
        <w:spacing w:before="120"/>
      </w:pPr>
      <w:r>
        <w:t>Any reversal or remedial action will be approved by the Board, and updated report subsequently published on the HWY&amp;W website.</w:t>
      </w:r>
    </w:p>
    <w:p w14:paraId="0AE99937" w14:textId="77777777" w:rsidR="006D3AE5" w:rsidRDefault="006D3AE5" w:rsidP="006D3AE5">
      <w:pPr>
        <w:spacing w:before="120"/>
      </w:pPr>
    </w:p>
    <w:sectPr w:rsidR="006D3AE5" w:rsidSect="004B1CB2">
      <w:headerReference w:type="default" r:id="rId8"/>
      <w:footerReference w:type="default" r:id="rId9"/>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A09E" w14:textId="77777777" w:rsidR="003105B9" w:rsidRDefault="003105B9" w:rsidP="00C9448A">
      <w:r>
        <w:separator/>
      </w:r>
    </w:p>
  </w:endnote>
  <w:endnote w:type="continuationSeparator" w:id="0">
    <w:p w14:paraId="78C265BE" w14:textId="77777777" w:rsidR="003105B9" w:rsidRDefault="003105B9" w:rsidP="00C9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F305" w14:textId="77777777" w:rsidR="003105B9" w:rsidRPr="00CB768F" w:rsidRDefault="003105B9" w:rsidP="00CB768F">
    <w:pPr>
      <w:pStyle w:val="Footer"/>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sidR="002D1A4D">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2D1A4D">
      <w:rPr>
        <w:noProof/>
        <w:sz w:val="20"/>
      </w:rPr>
      <w:t>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7CCA" w14:textId="77777777" w:rsidR="003105B9" w:rsidRDefault="003105B9" w:rsidP="00C9448A">
      <w:r>
        <w:separator/>
      </w:r>
    </w:p>
  </w:footnote>
  <w:footnote w:type="continuationSeparator" w:id="0">
    <w:p w14:paraId="3E7123D8" w14:textId="77777777" w:rsidR="003105B9" w:rsidRDefault="003105B9" w:rsidP="00C9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A278" w14:textId="340710D6" w:rsidR="003105B9" w:rsidRDefault="003105B9" w:rsidP="008B7CDD">
    <w:pPr>
      <w:pStyle w:val="Header"/>
      <w:jc w:val="center"/>
    </w:pPr>
    <w:r>
      <w:rPr>
        <w:noProof/>
      </w:rPr>
      <w:drawing>
        <wp:inline distT="0" distB="0" distL="0" distR="0" wp14:anchorId="387B56DE" wp14:editId="6EC047CE">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14:paraId="487C9595" w14:textId="77777777" w:rsidR="003105B9" w:rsidRDefault="003105B9" w:rsidP="008B7C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F1"/>
    <w:multiLevelType w:val="hybridMultilevel"/>
    <w:tmpl w:val="9BD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F7C5D"/>
    <w:multiLevelType w:val="multilevel"/>
    <w:tmpl w:val="9954B20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 w15:restartNumberingAfterBreak="0">
    <w:nsid w:val="17513ECB"/>
    <w:multiLevelType w:val="hybridMultilevel"/>
    <w:tmpl w:val="6212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C147A"/>
    <w:multiLevelType w:val="hybridMultilevel"/>
    <w:tmpl w:val="A5E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54A"/>
    <w:multiLevelType w:val="hybridMultilevel"/>
    <w:tmpl w:val="3F0051A0"/>
    <w:lvl w:ilvl="0" w:tplc="76EE072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F0D64"/>
    <w:multiLevelType w:val="hybridMultilevel"/>
    <w:tmpl w:val="017410C4"/>
    <w:lvl w:ilvl="0" w:tplc="8A3A5D2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44066"/>
    <w:multiLevelType w:val="hybridMultilevel"/>
    <w:tmpl w:val="A0FA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E3728"/>
    <w:multiLevelType w:val="hybridMultilevel"/>
    <w:tmpl w:val="6292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537C9"/>
    <w:multiLevelType w:val="hybridMultilevel"/>
    <w:tmpl w:val="9D5653B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22E32495"/>
    <w:multiLevelType w:val="hybridMultilevel"/>
    <w:tmpl w:val="5246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F1770"/>
    <w:multiLevelType w:val="hybridMultilevel"/>
    <w:tmpl w:val="5E3CB51A"/>
    <w:lvl w:ilvl="0" w:tplc="8A3A5D2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558D5"/>
    <w:multiLevelType w:val="hybridMultilevel"/>
    <w:tmpl w:val="4566B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C72C67"/>
    <w:multiLevelType w:val="multilevel"/>
    <w:tmpl w:val="2DDE0D8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4" w15:restartNumberingAfterBreak="0">
    <w:nsid w:val="2DD5020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FF49C5"/>
    <w:multiLevelType w:val="hybridMultilevel"/>
    <w:tmpl w:val="75B2D382"/>
    <w:lvl w:ilvl="0" w:tplc="B00C5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90215"/>
    <w:multiLevelType w:val="multilevel"/>
    <w:tmpl w:val="011E23E6"/>
    <w:styleLink w:val="List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7" w15:restartNumberingAfterBreak="0">
    <w:nsid w:val="31E4233B"/>
    <w:multiLevelType w:val="hybridMultilevel"/>
    <w:tmpl w:val="9DBCB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A3293"/>
    <w:multiLevelType w:val="hybridMultilevel"/>
    <w:tmpl w:val="DBB67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E4E2A"/>
    <w:multiLevelType w:val="hybridMultilevel"/>
    <w:tmpl w:val="C29A1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A44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886885"/>
    <w:multiLevelType w:val="hybridMultilevel"/>
    <w:tmpl w:val="23980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34610"/>
    <w:multiLevelType w:val="hybridMultilevel"/>
    <w:tmpl w:val="EBBA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A1806"/>
    <w:multiLevelType w:val="hybridMultilevel"/>
    <w:tmpl w:val="4BE85D54"/>
    <w:lvl w:ilvl="0" w:tplc="8A3A5D2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A1533"/>
    <w:multiLevelType w:val="hybridMultilevel"/>
    <w:tmpl w:val="0E82D5D6"/>
    <w:lvl w:ilvl="0" w:tplc="CB4238B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97C19"/>
    <w:multiLevelType w:val="hybridMultilevel"/>
    <w:tmpl w:val="A5A0587A"/>
    <w:lvl w:ilvl="0" w:tplc="A986174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6D3D86"/>
    <w:multiLevelType w:val="hybridMultilevel"/>
    <w:tmpl w:val="1DC090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4A2FBB"/>
    <w:multiLevelType w:val="multilevel"/>
    <w:tmpl w:val="B8A8910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8" w15:restartNumberingAfterBreak="0">
    <w:nsid w:val="5E5120BA"/>
    <w:multiLevelType w:val="hybridMultilevel"/>
    <w:tmpl w:val="C81C5F10"/>
    <w:lvl w:ilvl="0" w:tplc="9B8A76F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62DFA"/>
    <w:multiLevelType w:val="hybridMultilevel"/>
    <w:tmpl w:val="347E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56867"/>
    <w:multiLevelType w:val="hybridMultilevel"/>
    <w:tmpl w:val="CC18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96B54"/>
    <w:multiLevelType w:val="hybridMultilevel"/>
    <w:tmpl w:val="9482AE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BE3104"/>
    <w:multiLevelType w:val="hybridMultilevel"/>
    <w:tmpl w:val="2D4E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10B5D"/>
    <w:multiLevelType w:val="multilevel"/>
    <w:tmpl w:val="5106B75C"/>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4" w15:restartNumberingAfterBreak="0">
    <w:nsid w:val="74E4197A"/>
    <w:multiLevelType w:val="hybridMultilevel"/>
    <w:tmpl w:val="1AB29174"/>
    <w:lvl w:ilvl="0" w:tplc="77CA2458">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12"/>
  </w:num>
  <w:num w:numId="5">
    <w:abstractNumId w:val="18"/>
  </w:num>
  <w:num w:numId="6">
    <w:abstractNumId w:val="28"/>
  </w:num>
  <w:num w:numId="7">
    <w:abstractNumId w:val="33"/>
  </w:num>
  <w:num w:numId="8">
    <w:abstractNumId w:val="27"/>
  </w:num>
  <w:num w:numId="9">
    <w:abstractNumId w:val="2"/>
  </w:num>
  <w:num w:numId="10">
    <w:abstractNumId w:val="3"/>
  </w:num>
  <w:num w:numId="11">
    <w:abstractNumId w:val="17"/>
  </w:num>
  <w:num w:numId="12">
    <w:abstractNumId w:val="21"/>
  </w:num>
  <w:num w:numId="13">
    <w:abstractNumId w:val="31"/>
  </w:num>
  <w:num w:numId="14">
    <w:abstractNumId w:val="26"/>
  </w:num>
  <w:num w:numId="15">
    <w:abstractNumId w:val="24"/>
  </w:num>
  <w:num w:numId="16">
    <w:abstractNumId w:val="28"/>
    <w:lvlOverride w:ilvl="0">
      <w:startOverride w:val="1"/>
    </w:lvlOverride>
  </w:num>
  <w:num w:numId="17">
    <w:abstractNumId w:val="4"/>
  </w:num>
  <w:num w:numId="18">
    <w:abstractNumId w:val="20"/>
  </w:num>
  <w:num w:numId="19">
    <w:abstractNumId w:val="1"/>
  </w:num>
  <w:num w:numId="20">
    <w:abstractNumId w:val="14"/>
  </w:num>
  <w:num w:numId="21">
    <w:abstractNumId w:val="9"/>
  </w:num>
  <w:num w:numId="22">
    <w:abstractNumId w:val="5"/>
  </w:num>
  <w:num w:numId="23">
    <w:abstractNumId w:val="13"/>
  </w:num>
  <w:num w:numId="24">
    <w:abstractNumId w:val="16"/>
  </w:num>
  <w:num w:numId="25">
    <w:abstractNumId w:val="25"/>
  </w:num>
  <w:num w:numId="26">
    <w:abstractNumId w:val="10"/>
  </w:num>
  <w:num w:numId="27">
    <w:abstractNumId w:val="34"/>
  </w:num>
  <w:num w:numId="28">
    <w:abstractNumId w:val="6"/>
  </w:num>
  <w:num w:numId="29">
    <w:abstractNumId w:val="11"/>
  </w:num>
  <w:num w:numId="30">
    <w:abstractNumId w:val="23"/>
  </w:num>
  <w:num w:numId="31">
    <w:abstractNumId w:val="22"/>
  </w:num>
  <w:num w:numId="32">
    <w:abstractNumId w:val="7"/>
  </w:num>
  <w:num w:numId="33">
    <w:abstractNumId w:val="30"/>
  </w:num>
  <w:num w:numId="34">
    <w:abstractNumId w:val="14"/>
  </w:num>
  <w:num w:numId="35">
    <w:abstractNumId w:val="14"/>
  </w:num>
  <w:num w:numId="36">
    <w:abstractNumId w:val="14"/>
  </w:num>
  <w:num w:numId="37">
    <w:abstractNumId w:val="32"/>
  </w:num>
  <w:num w:numId="38">
    <w:abstractNumId w:val="29"/>
  </w:num>
  <w:num w:numId="39">
    <w:abstractNumId w:val="14"/>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A"/>
    <w:rsid w:val="00056242"/>
    <w:rsid w:val="00062569"/>
    <w:rsid w:val="00066E91"/>
    <w:rsid w:val="0009010F"/>
    <w:rsid w:val="000B53E4"/>
    <w:rsid w:val="000E5C7F"/>
    <w:rsid w:val="000E6707"/>
    <w:rsid w:val="0011139D"/>
    <w:rsid w:val="00133F86"/>
    <w:rsid w:val="00170795"/>
    <w:rsid w:val="0019105C"/>
    <w:rsid w:val="00191733"/>
    <w:rsid w:val="00196A2D"/>
    <w:rsid w:val="001A1D9A"/>
    <w:rsid w:val="001B2A59"/>
    <w:rsid w:val="001B657B"/>
    <w:rsid w:val="001D2B36"/>
    <w:rsid w:val="001D50AE"/>
    <w:rsid w:val="001F3606"/>
    <w:rsid w:val="00215612"/>
    <w:rsid w:val="002550AF"/>
    <w:rsid w:val="00273BB6"/>
    <w:rsid w:val="0029567F"/>
    <w:rsid w:val="002B0DE1"/>
    <w:rsid w:val="002D1A4D"/>
    <w:rsid w:val="002D2451"/>
    <w:rsid w:val="002E5B97"/>
    <w:rsid w:val="002F76FB"/>
    <w:rsid w:val="003105B9"/>
    <w:rsid w:val="003116E6"/>
    <w:rsid w:val="0031319E"/>
    <w:rsid w:val="00315781"/>
    <w:rsid w:val="00320358"/>
    <w:rsid w:val="00320EFF"/>
    <w:rsid w:val="00322AD8"/>
    <w:rsid w:val="00331EB3"/>
    <w:rsid w:val="003368E9"/>
    <w:rsid w:val="00351483"/>
    <w:rsid w:val="00442C28"/>
    <w:rsid w:val="00455232"/>
    <w:rsid w:val="00457D3D"/>
    <w:rsid w:val="00477E84"/>
    <w:rsid w:val="004B1CB2"/>
    <w:rsid w:val="004C2C21"/>
    <w:rsid w:val="004D649C"/>
    <w:rsid w:val="004E5C88"/>
    <w:rsid w:val="005134DB"/>
    <w:rsid w:val="005275EB"/>
    <w:rsid w:val="005565A9"/>
    <w:rsid w:val="005769F6"/>
    <w:rsid w:val="00580DEF"/>
    <w:rsid w:val="005835E3"/>
    <w:rsid w:val="005B5629"/>
    <w:rsid w:val="005E4215"/>
    <w:rsid w:val="005F1BD0"/>
    <w:rsid w:val="006053C6"/>
    <w:rsid w:val="006308BF"/>
    <w:rsid w:val="00632FA7"/>
    <w:rsid w:val="00635066"/>
    <w:rsid w:val="0065361A"/>
    <w:rsid w:val="00663A25"/>
    <w:rsid w:val="006857B2"/>
    <w:rsid w:val="00690A61"/>
    <w:rsid w:val="00695B18"/>
    <w:rsid w:val="006A51D7"/>
    <w:rsid w:val="006B73F7"/>
    <w:rsid w:val="006D35BA"/>
    <w:rsid w:val="006D3AE5"/>
    <w:rsid w:val="006E407C"/>
    <w:rsid w:val="006E7425"/>
    <w:rsid w:val="00710CFE"/>
    <w:rsid w:val="00717FF1"/>
    <w:rsid w:val="00742D84"/>
    <w:rsid w:val="00790FB8"/>
    <w:rsid w:val="007F200A"/>
    <w:rsid w:val="007F2F5C"/>
    <w:rsid w:val="00824D9F"/>
    <w:rsid w:val="00846035"/>
    <w:rsid w:val="00872DD0"/>
    <w:rsid w:val="00895526"/>
    <w:rsid w:val="008A53AF"/>
    <w:rsid w:val="008A556F"/>
    <w:rsid w:val="008B7CDD"/>
    <w:rsid w:val="008E040B"/>
    <w:rsid w:val="009068AC"/>
    <w:rsid w:val="00917AD6"/>
    <w:rsid w:val="00966B76"/>
    <w:rsid w:val="0099635A"/>
    <w:rsid w:val="009A743E"/>
    <w:rsid w:val="009D39BF"/>
    <w:rsid w:val="00A11779"/>
    <w:rsid w:val="00A1794A"/>
    <w:rsid w:val="00A23EB8"/>
    <w:rsid w:val="00A243EE"/>
    <w:rsid w:val="00A360DE"/>
    <w:rsid w:val="00A6625B"/>
    <w:rsid w:val="00A92C45"/>
    <w:rsid w:val="00AA0533"/>
    <w:rsid w:val="00AA46D3"/>
    <w:rsid w:val="00AA7D5B"/>
    <w:rsid w:val="00AC090D"/>
    <w:rsid w:val="00AC7DE1"/>
    <w:rsid w:val="00AF2981"/>
    <w:rsid w:val="00AF65F9"/>
    <w:rsid w:val="00B20918"/>
    <w:rsid w:val="00B34FA2"/>
    <w:rsid w:val="00B40FCE"/>
    <w:rsid w:val="00B65762"/>
    <w:rsid w:val="00B70EC7"/>
    <w:rsid w:val="00B757C1"/>
    <w:rsid w:val="00B90781"/>
    <w:rsid w:val="00B921F5"/>
    <w:rsid w:val="00BA1B44"/>
    <w:rsid w:val="00BA79DE"/>
    <w:rsid w:val="00BB2C7E"/>
    <w:rsid w:val="00BC72C9"/>
    <w:rsid w:val="00BD2115"/>
    <w:rsid w:val="00C0720C"/>
    <w:rsid w:val="00C428E9"/>
    <w:rsid w:val="00C663E7"/>
    <w:rsid w:val="00C74B86"/>
    <w:rsid w:val="00C9448A"/>
    <w:rsid w:val="00CA2EF2"/>
    <w:rsid w:val="00CB22F0"/>
    <w:rsid w:val="00CB768F"/>
    <w:rsid w:val="00CC1945"/>
    <w:rsid w:val="00CC2EF5"/>
    <w:rsid w:val="00CD2BC0"/>
    <w:rsid w:val="00D43B86"/>
    <w:rsid w:val="00D57884"/>
    <w:rsid w:val="00D6596C"/>
    <w:rsid w:val="00D7001D"/>
    <w:rsid w:val="00D72440"/>
    <w:rsid w:val="00D912B2"/>
    <w:rsid w:val="00DA6E42"/>
    <w:rsid w:val="00DC7D14"/>
    <w:rsid w:val="00DD4338"/>
    <w:rsid w:val="00E037C1"/>
    <w:rsid w:val="00E03E7E"/>
    <w:rsid w:val="00EA508E"/>
    <w:rsid w:val="00EC2751"/>
    <w:rsid w:val="00EF1D81"/>
    <w:rsid w:val="00F01131"/>
    <w:rsid w:val="00F07CDA"/>
    <w:rsid w:val="00F14E4A"/>
    <w:rsid w:val="00F169DB"/>
    <w:rsid w:val="00F35AFA"/>
    <w:rsid w:val="00F863EB"/>
    <w:rsid w:val="00F976C4"/>
    <w:rsid w:val="00FA2CF3"/>
    <w:rsid w:val="00FA4086"/>
    <w:rsid w:val="00FF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D7E4A58"/>
  <w15:chartTrackingRefBased/>
  <w15:docId w15:val="{1A0F0196-8692-465E-BD9F-7FE2338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AE"/>
    <w:pPr>
      <w:widowControl w:val="0"/>
      <w:autoSpaceDE w:val="0"/>
      <w:autoSpaceDN w:val="0"/>
      <w:adjustRightInd w:val="0"/>
      <w:spacing w:line="276" w:lineRule="auto"/>
    </w:pPr>
    <w:rPr>
      <w:rFonts w:ascii="Trebuchet MS" w:eastAsia="Times New Roman" w:hAnsi="Trebuchet MS"/>
      <w:sz w:val="24"/>
      <w:szCs w:val="24"/>
      <w:lang w:val="en-US" w:eastAsia="en-CA"/>
    </w:rPr>
  </w:style>
  <w:style w:type="paragraph" w:styleId="Heading1">
    <w:name w:val="heading 1"/>
    <w:basedOn w:val="Normal"/>
    <w:next w:val="Normal"/>
    <w:link w:val="Heading1Char"/>
    <w:uiPriority w:val="9"/>
    <w:qFormat/>
    <w:rsid w:val="00FF18F2"/>
    <w:pPr>
      <w:keepNext/>
      <w:numPr>
        <w:numId w:val="20"/>
      </w:numPr>
      <w:spacing w:before="240" w:after="24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numPr>
        <w:ilvl w:val="1"/>
        <w:numId w:val="20"/>
      </w:numPr>
      <w:spacing w:before="120" w:after="120"/>
      <w:outlineLvl w:val="1"/>
    </w:pPr>
    <w:rPr>
      <w:b/>
      <w:bCs/>
      <w:iCs/>
      <w:szCs w:val="28"/>
    </w:rPr>
  </w:style>
  <w:style w:type="paragraph" w:styleId="Heading3">
    <w:name w:val="heading 3"/>
    <w:basedOn w:val="Normal"/>
    <w:next w:val="Normal"/>
    <w:link w:val="Heading3Char"/>
    <w:uiPriority w:val="9"/>
    <w:unhideWhenUsed/>
    <w:qFormat/>
    <w:rsid w:val="000E6707"/>
    <w:pPr>
      <w:keepNext/>
      <w:keepLines/>
      <w:numPr>
        <w:ilvl w:val="2"/>
        <w:numId w:val="20"/>
      </w:numPr>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320358"/>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0358"/>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0358"/>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0358"/>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035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035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customStyle="1" w:styleId="HeaderChar">
    <w:name w:val="Header Char"/>
    <w:link w:val="Header"/>
    <w:uiPriority w:val="99"/>
    <w:rsid w:val="00C9448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customStyle="1" w:styleId="FooterChar">
    <w:name w:val="Footer Char"/>
    <w:link w:val="Footer"/>
    <w:uiPriority w:val="99"/>
    <w:rsid w:val="00C9448A"/>
    <w:rPr>
      <w:rFonts w:ascii="Times New Roman" w:eastAsia="Times New Roman" w:hAnsi="Times New Roman" w:cs="Times New Roman"/>
      <w:sz w:val="24"/>
      <w:szCs w:val="24"/>
      <w:lang w:val="en-US" w:eastAsia="en-CA"/>
    </w:rPr>
  </w:style>
  <w:style w:type="table" w:styleId="TableGrid">
    <w:name w:val="Table Grid"/>
    <w:basedOn w:val="TableNormal"/>
    <w:rsid w:val="00C9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customStyle="1" w:styleId="BalloonTextChar">
    <w:name w:val="Balloon Text Char"/>
    <w:link w:val="BalloonText"/>
    <w:uiPriority w:val="99"/>
    <w:semiHidden/>
    <w:rsid w:val="00BC72C9"/>
    <w:rPr>
      <w:rFonts w:ascii="Tahoma" w:eastAsia="Times New Roman" w:hAnsi="Tahoma" w:cs="Tahoma"/>
      <w:sz w:val="16"/>
      <w:szCs w:val="16"/>
      <w:lang w:val="en-US" w:eastAsia="en-CA"/>
    </w:rPr>
  </w:style>
  <w:style w:type="character" w:customStyle="1" w:styleId="Heading1Char">
    <w:name w:val="Heading 1 Char"/>
    <w:link w:val="Heading1"/>
    <w:uiPriority w:val="9"/>
    <w:rsid w:val="00FF18F2"/>
    <w:rPr>
      <w:rFonts w:ascii="Trebuchet MS" w:eastAsia="Times New Roman" w:hAnsi="Trebuchet MS"/>
      <w:b/>
      <w:bCs/>
      <w:kern w:val="32"/>
      <w:sz w:val="28"/>
      <w:szCs w:val="32"/>
      <w:lang w:val="en-US" w:eastAsia="en-CA"/>
    </w:rPr>
  </w:style>
  <w:style w:type="character" w:customStyle="1" w:styleId="Heading2Char">
    <w:name w:val="Heading 2 Char"/>
    <w:link w:val="Heading2"/>
    <w:uiPriority w:val="9"/>
    <w:rsid w:val="008E040B"/>
    <w:rPr>
      <w:rFonts w:ascii="Trebuchet MS" w:eastAsia="Times New Roman" w:hAnsi="Trebuchet MS"/>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D50AE"/>
    <w:rPr>
      <w:rFonts w:ascii="Trebuchet MS" w:eastAsiaTheme="majorEastAsia" w:hAnsi="Trebuchet MS"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paragraph" w:styleId="TOC2">
    <w:name w:val="toc 2"/>
    <w:basedOn w:val="Normal"/>
    <w:next w:val="Normal"/>
    <w:autoRedefine/>
    <w:uiPriority w:val="39"/>
    <w:unhideWhenUsed/>
    <w:rsid w:val="00F14E4A"/>
    <w:pPr>
      <w:spacing w:after="100"/>
      <w:ind w:left="240"/>
    </w:pPr>
  </w:style>
  <w:style w:type="paragraph" w:customStyle="1" w:styleId="Body">
    <w:name w:val="Body"/>
    <w:rsid w:val="00DC7D1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3Char">
    <w:name w:val="Heading 3 Char"/>
    <w:basedOn w:val="DefaultParagraphFont"/>
    <w:link w:val="Heading3"/>
    <w:uiPriority w:val="9"/>
    <w:rsid w:val="000E6707"/>
    <w:rPr>
      <w:rFonts w:ascii="Trebuchet MS" w:eastAsiaTheme="majorEastAsia" w:hAnsi="Trebuchet MS" w:cstheme="majorBidi"/>
      <w:color w:val="1F4D78" w:themeColor="accent1" w:themeShade="7F"/>
      <w:sz w:val="24"/>
      <w:szCs w:val="24"/>
      <w:lang w:val="en-US" w:eastAsia="en-CA"/>
    </w:rPr>
  </w:style>
  <w:style w:type="character" w:customStyle="1" w:styleId="Heading4Char">
    <w:name w:val="Heading 4 Char"/>
    <w:basedOn w:val="DefaultParagraphFont"/>
    <w:link w:val="Heading4"/>
    <w:uiPriority w:val="9"/>
    <w:semiHidden/>
    <w:rsid w:val="00320358"/>
    <w:rPr>
      <w:rFonts w:asciiTheme="majorHAnsi" w:eastAsiaTheme="majorEastAsia" w:hAnsiTheme="majorHAnsi" w:cstheme="majorBidi"/>
      <w:i/>
      <w:iCs/>
      <w:color w:val="2E74B5" w:themeColor="accent1" w:themeShade="BF"/>
      <w:sz w:val="24"/>
      <w:szCs w:val="24"/>
      <w:lang w:val="en-US" w:eastAsia="en-CA"/>
    </w:rPr>
  </w:style>
  <w:style w:type="character" w:customStyle="1" w:styleId="Heading5Char">
    <w:name w:val="Heading 5 Char"/>
    <w:basedOn w:val="DefaultParagraphFont"/>
    <w:link w:val="Heading5"/>
    <w:uiPriority w:val="9"/>
    <w:semiHidden/>
    <w:rsid w:val="00320358"/>
    <w:rPr>
      <w:rFonts w:asciiTheme="majorHAnsi" w:eastAsiaTheme="majorEastAsia" w:hAnsiTheme="majorHAnsi" w:cstheme="majorBidi"/>
      <w:color w:val="2E74B5" w:themeColor="accent1" w:themeShade="BF"/>
      <w:sz w:val="24"/>
      <w:szCs w:val="24"/>
      <w:lang w:val="en-US" w:eastAsia="en-CA"/>
    </w:rPr>
  </w:style>
  <w:style w:type="character" w:customStyle="1" w:styleId="Heading6Char">
    <w:name w:val="Heading 6 Char"/>
    <w:basedOn w:val="DefaultParagraphFont"/>
    <w:link w:val="Heading6"/>
    <w:uiPriority w:val="9"/>
    <w:semiHidden/>
    <w:rsid w:val="00320358"/>
    <w:rPr>
      <w:rFonts w:asciiTheme="majorHAnsi" w:eastAsiaTheme="majorEastAsia" w:hAnsiTheme="majorHAnsi" w:cstheme="majorBidi"/>
      <w:color w:val="1F4D78" w:themeColor="accent1" w:themeShade="7F"/>
      <w:sz w:val="24"/>
      <w:szCs w:val="24"/>
      <w:lang w:val="en-US" w:eastAsia="en-CA"/>
    </w:rPr>
  </w:style>
  <w:style w:type="character" w:customStyle="1" w:styleId="Heading7Char">
    <w:name w:val="Heading 7 Char"/>
    <w:basedOn w:val="DefaultParagraphFont"/>
    <w:link w:val="Heading7"/>
    <w:uiPriority w:val="9"/>
    <w:semiHidden/>
    <w:rsid w:val="00320358"/>
    <w:rPr>
      <w:rFonts w:asciiTheme="majorHAnsi" w:eastAsiaTheme="majorEastAsia" w:hAnsiTheme="majorHAnsi" w:cstheme="majorBidi"/>
      <w:i/>
      <w:iCs/>
      <w:color w:val="1F4D78" w:themeColor="accent1" w:themeShade="7F"/>
      <w:sz w:val="24"/>
      <w:szCs w:val="24"/>
      <w:lang w:val="en-US" w:eastAsia="en-CA"/>
    </w:rPr>
  </w:style>
  <w:style w:type="character" w:customStyle="1" w:styleId="Heading8Char">
    <w:name w:val="Heading 8 Char"/>
    <w:basedOn w:val="DefaultParagraphFont"/>
    <w:link w:val="Heading8"/>
    <w:uiPriority w:val="9"/>
    <w:semiHidden/>
    <w:rsid w:val="00320358"/>
    <w:rPr>
      <w:rFonts w:asciiTheme="majorHAnsi" w:eastAsiaTheme="majorEastAsia" w:hAnsiTheme="majorHAnsi" w:cstheme="majorBidi"/>
      <w:color w:val="272727" w:themeColor="text1" w:themeTint="D8"/>
      <w:sz w:val="21"/>
      <w:szCs w:val="21"/>
      <w:lang w:val="en-US" w:eastAsia="en-CA"/>
    </w:rPr>
  </w:style>
  <w:style w:type="character" w:customStyle="1" w:styleId="Heading9Char">
    <w:name w:val="Heading 9 Char"/>
    <w:basedOn w:val="DefaultParagraphFont"/>
    <w:link w:val="Heading9"/>
    <w:uiPriority w:val="9"/>
    <w:semiHidden/>
    <w:rsid w:val="00320358"/>
    <w:rPr>
      <w:rFonts w:asciiTheme="majorHAnsi" w:eastAsiaTheme="majorEastAsia" w:hAnsiTheme="majorHAnsi" w:cstheme="majorBidi"/>
      <w:i/>
      <w:iCs/>
      <w:color w:val="272727" w:themeColor="text1" w:themeTint="D8"/>
      <w:sz w:val="21"/>
      <w:szCs w:val="21"/>
      <w:lang w:val="en-US" w:eastAsia="en-CA"/>
    </w:rPr>
  </w:style>
  <w:style w:type="character" w:customStyle="1" w:styleId="Hyperlink0">
    <w:name w:val="Hyperlink.0"/>
    <w:basedOn w:val="DefaultParagraphFont"/>
    <w:rsid w:val="00133F86"/>
    <w:rPr>
      <w:rFonts w:ascii="Trebuchet MS" w:eastAsia="Trebuchet MS" w:hAnsi="Trebuchet MS" w:cs="Trebuchet MS"/>
      <w:color w:val="0000FF"/>
      <w:u w:val="single" w:color="0000FF"/>
    </w:rPr>
  </w:style>
  <w:style w:type="character" w:styleId="UnresolvedMention">
    <w:name w:val="Unresolved Mention"/>
    <w:basedOn w:val="DefaultParagraphFont"/>
    <w:uiPriority w:val="99"/>
    <w:semiHidden/>
    <w:unhideWhenUsed/>
    <w:rsid w:val="00133F86"/>
    <w:rPr>
      <w:color w:val="808080"/>
      <w:shd w:val="clear" w:color="auto" w:fill="E6E6E6"/>
    </w:rPr>
  </w:style>
  <w:style w:type="numbering" w:customStyle="1" w:styleId="List31">
    <w:name w:val="List 31"/>
    <w:basedOn w:val="NoList"/>
    <w:rsid w:val="00BD2115"/>
    <w:pPr>
      <w:numPr>
        <w:numId w:val="24"/>
      </w:numPr>
    </w:pPr>
  </w:style>
  <w:style w:type="paragraph" w:styleId="TOC3">
    <w:name w:val="toc 3"/>
    <w:basedOn w:val="Normal"/>
    <w:next w:val="Normal"/>
    <w:autoRedefine/>
    <w:uiPriority w:val="39"/>
    <w:unhideWhenUsed/>
    <w:rsid w:val="00E037C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0452-ADAA-42AE-99A6-54036A7B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sarah.bull</dc:creator>
  <cp:keywords/>
  <cp:lastModifiedBy>Carolyn Henniker</cp:lastModifiedBy>
  <cp:revision>3</cp:revision>
  <cp:lastPrinted>2016-03-18T13:31:00Z</cp:lastPrinted>
  <dcterms:created xsi:type="dcterms:W3CDTF">2018-04-25T13:54:00Z</dcterms:created>
  <dcterms:modified xsi:type="dcterms:W3CDTF">2018-05-02T13:04:00Z</dcterms:modified>
</cp:coreProperties>
</file>